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D5CE2">
        <w:rPr>
          <w:rFonts w:ascii="Century Gothic" w:hAnsi="Century Gothic" w:cs="Arial"/>
          <w:b/>
          <w:bCs/>
          <w:smallCaps/>
          <w:sz w:val="24"/>
          <w:szCs w:val="20"/>
        </w:rPr>
        <w:t>abaissement d’échelon</w:t>
      </w:r>
      <w:bookmarkStart w:id="0" w:name="_GoBack"/>
      <w:bookmarkEnd w:id="0"/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20EBF" w:rsidRPr="00020EBF" w:rsidRDefault="00020EBF" w:rsidP="00020E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D5CE2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abaissement d’échelon</w:t>
            </w:r>
            <w:r w:rsidR="00B46012">
              <w:rPr>
                <w:rFonts w:ascii="Calibri" w:hAnsi="Calibri" w:cs="Calibri"/>
                <w:sz w:val="18"/>
              </w:rPr>
              <w:t xml:space="preserve">, sanction </w:t>
            </w:r>
            <w:r w:rsidR="00864EA7">
              <w:rPr>
                <w:rFonts w:ascii="Calibri" w:hAnsi="Calibri" w:cs="Calibri"/>
                <w:sz w:val="18"/>
              </w:rPr>
              <w:t xml:space="preserve">disciplinaire </w:t>
            </w:r>
            <w:r w:rsidR="00B46012">
              <w:rPr>
                <w:rFonts w:ascii="Calibri" w:hAnsi="Calibri" w:cs="Calibri"/>
                <w:sz w:val="18"/>
              </w:rPr>
              <w:t xml:space="preserve">du </w:t>
            </w:r>
            <w:r w:rsidR="0078577C">
              <w:rPr>
                <w:rFonts w:ascii="Calibri" w:hAnsi="Calibri" w:cs="Calibri"/>
                <w:sz w:val="18"/>
              </w:rPr>
              <w:t>2</w:t>
            </w:r>
            <w:r w:rsidR="009C4EC2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64EA7" w:rsidRPr="00864EA7" w:rsidRDefault="00B46012" w:rsidP="003D5CE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D5CE2">
              <w:rPr>
                <w:rFonts w:ascii="Calibri" w:hAnsi="Calibri" w:cs="Calibri"/>
                <w:sz w:val="18"/>
              </w:rPr>
              <w:t>A compter de cette date,</w:t>
            </w:r>
            <w:r w:rsidR="00864EA7">
              <w:rPr>
                <w:rFonts w:ascii="Calibri" w:hAnsi="Calibri" w:cs="Calibri"/>
                <w:sz w:val="18"/>
              </w:rPr>
              <w:t xml:space="preserve"> M. ou Mme [</w:t>
            </w:r>
            <w:r w:rsidR="00864EA7">
              <w:rPr>
                <w:rFonts w:ascii="Calibri" w:hAnsi="Calibri" w:cs="Calibri"/>
                <w:b/>
                <w:sz w:val="18"/>
              </w:rPr>
              <w:t>Nom, Prénom</w:t>
            </w:r>
            <w:r w:rsidR="00864EA7">
              <w:rPr>
                <w:rFonts w:ascii="Calibri" w:hAnsi="Calibri" w:cs="Calibri"/>
                <w:sz w:val="18"/>
              </w:rPr>
              <w:t>]</w:t>
            </w:r>
            <w:r w:rsidR="003D5CE2">
              <w:rPr>
                <w:rFonts w:ascii="Calibri" w:hAnsi="Calibri" w:cs="Calibri"/>
                <w:sz w:val="18"/>
              </w:rPr>
              <w:t xml:space="preserve"> sera classé(e) au [</w:t>
            </w:r>
            <w:r w:rsidR="003D5CE2">
              <w:rPr>
                <w:rFonts w:ascii="Calibri" w:hAnsi="Calibri" w:cs="Calibri"/>
                <w:b/>
                <w:sz w:val="18"/>
              </w:rPr>
              <w:t>échelon</w:t>
            </w:r>
            <w:r w:rsidR="003D5CE2">
              <w:rPr>
                <w:rFonts w:ascii="Calibri" w:hAnsi="Calibri" w:cs="Calibri"/>
                <w:sz w:val="18"/>
              </w:rPr>
              <w:t>] échelon du grade de [</w:t>
            </w:r>
            <w:r w:rsidR="003D5CE2">
              <w:rPr>
                <w:rFonts w:ascii="Calibri" w:hAnsi="Calibri" w:cs="Calibri"/>
                <w:b/>
                <w:sz w:val="18"/>
              </w:rPr>
              <w:t>grade</w:t>
            </w:r>
            <w:r w:rsidR="003D5CE2">
              <w:rPr>
                <w:rFonts w:ascii="Calibri" w:hAnsi="Calibri" w:cs="Calibri"/>
                <w:sz w:val="18"/>
              </w:rPr>
              <w:t>], IB [</w:t>
            </w:r>
            <w:r w:rsidR="003D5CE2">
              <w:rPr>
                <w:rFonts w:ascii="Calibri" w:hAnsi="Calibri" w:cs="Calibri"/>
                <w:b/>
                <w:sz w:val="18"/>
              </w:rPr>
              <w:t>IB</w:t>
            </w:r>
            <w:r w:rsidR="003D5CE2">
              <w:rPr>
                <w:rFonts w:ascii="Calibri" w:hAnsi="Calibri" w:cs="Calibri"/>
                <w:sz w:val="18"/>
              </w:rPr>
              <w:t>], IM [</w:t>
            </w:r>
            <w:r w:rsidR="003D5CE2">
              <w:rPr>
                <w:rFonts w:ascii="Calibri" w:hAnsi="Calibri" w:cs="Calibri"/>
                <w:b/>
                <w:sz w:val="18"/>
              </w:rPr>
              <w:t>IM</w:t>
            </w:r>
            <w:r w:rsidR="003D5CE2">
              <w:rPr>
                <w:rFonts w:ascii="Calibri" w:hAnsi="Calibri" w:cs="Calibri"/>
                <w:sz w:val="18"/>
              </w:rPr>
              <w:t>], avec une ancienneté de [</w:t>
            </w:r>
            <w:r w:rsidR="003D5CE2">
              <w:rPr>
                <w:rFonts w:ascii="Calibri" w:hAnsi="Calibri" w:cs="Calibri"/>
                <w:b/>
                <w:sz w:val="18"/>
              </w:rPr>
              <w:t>ancienneté conservée – la perte de l’ancienneté serait considéré comme une seconde sanction</w:t>
            </w:r>
            <w:r w:rsidR="003D5CE2">
              <w:rPr>
                <w:rFonts w:ascii="Calibri" w:hAnsi="Calibri" w:cs="Calibri"/>
                <w:sz w:val="18"/>
              </w:rPr>
              <w:t>]</w:t>
            </w:r>
            <w:r w:rsidR="00864EA7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Default="00020EBF" w:rsidP="00020EB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</w:p>
          <w:p w:rsidR="00020EBF" w:rsidRPr="00020EBF" w:rsidRDefault="00020EBF" w:rsidP="00020EBF">
            <w:pPr>
              <w:jc w:val="both"/>
              <w:rPr>
                <w:rFonts w:ascii="Calibri" w:hAnsi="Calibri" w:cs="Calibri"/>
              </w:rPr>
            </w:pPr>
            <w:r w:rsidRPr="00020EBF">
              <w:rPr>
                <w:rFonts w:ascii="Calibri" w:hAnsi="Calibri" w:cs="Calibri"/>
                <w:bCs/>
                <w:i/>
                <w:sz w:val="18"/>
              </w:rPr>
              <w:t>(le cas échéant)</w:t>
            </w:r>
            <w:r w:rsidRPr="00020EBF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7584" w:type="dxa"/>
          </w:tcPr>
          <w:p w:rsidR="00020EBF" w:rsidRPr="00864EA7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cette même date, et à titre de sanction complémentaire, tel que prévu par l’article L.533-2 du code général de la fonction publique,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radié du tableau d’avancement.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Pr="009F4153" w:rsidRDefault="00020EBF" w:rsidP="00020E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EBF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66BE4"/>
    <w:rsid w:val="0028085B"/>
    <w:rsid w:val="002C7932"/>
    <w:rsid w:val="00342D2A"/>
    <w:rsid w:val="003520C3"/>
    <w:rsid w:val="003D49A7"/>
    <w:rsid w:val="003D5CE2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78577C"/>
    <w:rsid w:val="00864EA7"/>
    <w:rsid w:val="009542BE"/>
    <w:rsid w:val="00996F40"/>
    <w:rsid w:val="009C4EC2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DC1304"/>
    <w:rsid w:val="00E63980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D8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2023-07-27T11:47:00Z</dcterms:created>
  <dcterms:modified xsi:type="dcterms:W3CDTF">2023-07-27T11:50:00Z</dcterms:modified>
</cp:coreProperties>
</file>