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 xml:space="preserve">Nombre de jours – </w:t>
            </w:r>
            <w:r w:rsidR="009C4EC2">
              <w:rPr>
                <w:rFonts w:ascii="Calibri" w:hAnsi="Calibri" w:cs="Calibri"/>
                <w:b/>
                <w:sz w:val="18"/>
              </w:rPr>
              <w:t xml:space="preserve">de </w:t>
            </w:r>
            <w:r w:rsidR="0078577C">
              <w:rPr>
                <w:rFonts w:ascii="Calibri" w:hAnsi="Calibri" w:cs="Calibri"/>
                <w:b/>
                <w:sz w:val="18"/>
              </w:rPr>
              <w:t>4 à 15 jours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sanction </w:t>
            </w:r>
            <w:r>
              <w:rPr>
                <w:rFonts w:ascii="Calibri" w:hAnsi="Calibri" w:cs="Calibri"/>
                <w:sz w:val="18"/>
              </w:rPr>
              <w:t xml:space="preserve">disciplinaire </w:t>
            </w:r>
            <w:r w:rsidR="00B46012">
              <w:rPr>
                <w:rFonts w:ascii="Calibri" w:hAnsi="Calibri" w:cs="Calibri"/>
                <w:sz w:val="18"/>
              </w:rPr>
              <w:t xml:space="preserve">du </w:t>
            </w:r>
            <w:r w:rsidR="0078577C">
              <w:rPr>
                <w:rFonts w:ascii="Calibri" w:hAnsi="Calibri" w:cs="Calibri"/>
                <w:sz w:val="18"/>
              </w:rPr>
              <w:t>2</w:t>
            </w:r>
            <w:r w:rsidR="009C4EC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Cette période n’entre pas en compte pour le calcul de l’ancienneté, ni pour l’avancement et la retraite.</w:t>
            </w:r>
          </w:p>
          <w:p w:rsidR="00864EA7" w:rsidRPr="00864EA7" w:rsidRDefault="00864EA7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durée, une retenue de [</w:t>
            </w:r>
            <w:r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jours</w:t>
            </w:r>
            <w:r>
              <w:rPr>
                <w:rFonts w:ascii="Calibri" w:hAnsi="Calibri" w:cs="Calibri"/>
                <w:sz w:val="18"/>
              </w:rPr>
              <w:t>]/</w:t>
            </w:r>
            <w:proofErr w:type="gramEnd"/>
            <w:r>
              <w:rPr>
                <w:rFonts w:ascii="Calibri" w:hAnsi="Calibri" w:cs="Calibri"/>
                <w:sz w:val="18"/>
              </w:rPr>
              <w:t>30</w:t>
            </w:r>
            <w:r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Default="00020EBF" w:rsidP="00020EBF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</w:p>
          <w:p w:rsidR="00020EBF" w:rsidRPr="00020EBF" w:rsidRDefault="00020EBF" w:rsidP="00020EBF">
            <w:pPr>
              <w:jc w:val="both"/>
              <w:rPr>
                <w:rFonts w:ascii="Calibri" w:hAnsi="Calibri" w:cs="Calibri"/>
              </w:rPr>
            </w:pPr>
            <w:r w:rsidRPr="00020EBF">
              <w:rPr>
                <w:rFonts w:ascii="Calibri" w:hAnsi="Calibri" w:cs="Calibri"/>
                <w:bCs/>
                <w:i/>
                <w:sz w:val="18"/>
              </w:rPr>
              <w:t>(le cas échéant)</w:t>
            </w:r>
            <w:r w:rsidRPr="00020EB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584" w:type="dxa"/>
          </w:tcPr>
          <w:p w:rsidR="00020EBF" w:rsidRPr="00864EA7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cette même date, et à titre de sanction complémentaire, tel que prévu par l’article L.533-2 du code général de la fonction publique,</w:t>
            </w:r>
            <w:r>
              <w:rPr>
                <w:rFonts w:ascii="Calibri" w:hAnsi="Calibri" w:cs="Calibri"/>
                <w:sz w:val="18"/>
              </w:rPr>
              <w:t xml:space="preserve">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est radié du tableau d’avancement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20E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9542BE">
      <w:rPr>
        <w:i/>
        <w:color w:val="808080" w:themeColor="background1" w:themeShade="80"/>
      </w:rPr>
      <w:t>juillet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42D2A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78577C"/>
    <w:rsid w:val="00864EA7"/>
    <w:rsid w:val="009542BE"/>
    <w:rsid w:val="00996F40"/>
    <w:rsid w:val="009C4EC2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DC1304"/>
    <w:rsid w:val="00E63980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688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2023-07-27T09:03:00Z</dcterms:created>
  <dcterms:modified xsi:type="dcterms:W3CDTF">2023-07-27T09:03:00Z</dcterms:modified>
</cp:coreProperties>
</file>