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67B" w:rsidRDefault="006C2F60" w:rsidP="003C367B">
      <w:pPr>
        <w:spacing w:after="120" w:line="240" w:lineRule="auto"/>
      </w:pPr>
      <w:r>
        <w:rPr>
          <w:rFonts w:ascii="Century Gothic" w:hAnsi="Century Gothic"/>
          <w:noProof/>
          <w:sz w:val="20"/>
          <w:szCs w:val="20"/>
          <w:u w:val="single"/>
          <w:lang w:eastAsia="fr-FR"/>
        </w:rPr>
        <mc:AlternateContent>
          <mc:Choice Requires="wps">
            <w:drawing>
              <wp:anchor distT="0" distB="0" distL="114300" distR="114300" simplePos="0" relativeHeight="251660288" behindDoc="0" locked="0" layoutInCell="1" allowOverlap="1" wp14:anchorId="7230E68D" wp14:editId="5909944D">
                <wp:simplePos x="0" y="0"/>
                <wp:positionH relativeFrom="column">
                  <wp:posOffset>-995045</wp:posOffset>
                </wp:positionH>
                <wp:positionV relativeFrom="paragraph">
                  <wp:posOffset>-423545</wp:posOffset>
                </wp:positionV>
                <wp:extent cx="1781175" cy="99060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1781175" cy="990600"/>
                        </a:xfrm>
                        <a:prstGeom prst="rect">
                          <a:avLst/>
                        </a:prstGeom>
                        <a:solidFill>
                          <a:srgbClr val="FFFFFF"/>
                        </a:solidFill>
                        <a:ln>
                          <a:noFill/>
                          <a:prstDash/>
                        </a:ln>
                      </wps:spPr>
                      <wps:txbx>
                        <w:txbxContent>
                          <w:p w:rsidR="003C367B" w:rsidRDefault="003C367B" w:rsidP="003C367B">
                            <w:r>
                              <w:rPr>
                                <w:noProof/>
                                <w:lang w:eastAsia="fr-FR"/>
                              </w:rPr>
                              <w:drawing>
                                <wp:inline distT="0" distB="0" distL="0" distR="0" wp14:anchorId="39DB5CAF" wp14:editId="2F7F68A3">
                                  <wp:extent cx="1647821" cy="956800"/>
                                  <wp:effectExtent l="0" t="0" r="0" b="0"/>
                                  <wp:docPr id="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47821" cy="956800"/>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230E68D" id="_x0000_t202" coordsize="21600,21600" o:spt="202" path="m,l,21600r21600,l21600,xe">
                <v:stroke joinstyle="miter"/>
                <v:path gradientshapeok="t" o:connecttype="rect"/>
              </v:shapetype>
              <v:shape id="Zone de texte 2" o:spid="_x0000_s1026" type="#_x0000_t202" style="position:absolute;margin-left:-78.35pt;margin-top:-33.35pt;width:140.2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" stroked="f">
                <v:textbox>
                  <w:txbxContent>
                    <w:p w:rsidR="003C367B" w:rsidRDefault="003C367B" w:rsidP="003C367B">
                      <w:r>
                        <w:rPr>
                          <w:noProof/>
                          <w:lang w:eastAsia="fr-FR"/>
                        </w:rPr>
                        <w:drawing>
                          <wp:inline distT="0" distB="0" distL="0" distR="0" wp14:anchorId="39DB5CAF" wp14:editId="2F7F68A3">
                            <wp:extent cx="1647821" cy="956800"/>
                            <wp:effectExtent l="0" t="0" r="0" b="0"/>
                            <wp:docPr id="1"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956800"/>
                                    </a:xfrm>
                                    <a:prstGeom prst="rect">
                                      <a:avLst/>
                                    </a:prstGeom>
                                    <a:noFill/>
                                    <a:ln>
                                      <a:noFill/>
                                      <a:prstDash/>
                                    </a:ln>
                                  </pic:spPr>
                                </pic:pic>
                              </a:graphicData>
                            </a:graphic>
                          </wp:inline>
                        </w:drawing>
                      </w:r>
                    </w:p>
                  </w:txbxContent>
                </v:textbox>
              </v:shape>
            </w:pict>
          </mc:Fallback>
        </mc:AlternateContent>
      </w:r>
    </w:p>
    <w:p w:rsidR="003C367B" w:rsidRDefault="003C367B" w:rsidP="003C367B">
      <w:pPr>
        <w:spacing w:after="120" w:line="240" w:lineRule="auto"/>
        <w:rPr>
          <w:rFonts w:ascii="Century Gothic" w:hAnsi="Century Gothic"/>
          <w:b/>
          <w:sz w:val="20"/>
          <w:szCs w:val="20"/>
        </w:rPr>
      </w:pPr>
    </w:p>
    <w:p w:rsidR="00CA3242" w:rsidRDefault="00CD4B1C" w:rsidP="00CA3242">
      <w:pPr>
        <w:autoSpaceDE w:val="0"/>
        <w:adjustRightInd w:val="0"/>
        <w:spacing w:after="0" w:line="240" w:lineRule="auto"/>
        <w:jc w:val="center"/>
        <w:rPr>
          <w:rFonts w:ascii="Century Gothic" w:hAnsi="Century Gothic"/>
          <w:b/>
          <w:bCs/>
          <w:sz w:val="28"/>
          <w:szCs w:val="28"/>
        </w:rPr>
      </w:pPr>
      <w:r>
        <w:rPr>
          <w:rFonts w:ascii="Century Gothic" w:hAnsi="Century Gothic"/>
          <w:b/>
          <w:bCs/>
          <w:sz w:val="28"/>
          <w:szCs w:val="28"/>
        </w:rPr>
        <w:t>Modèle de d</w:t>
      </w:r>
      <w:r w:rsidR="00CA3242">
        <w:rPr>
          <w:rFonts w:ascii="Century Gothic" w:hAnsi="Century Gothic"/>
          <w:b/>
          <w:bCs/>
          <w:sz w:val="28"/>
          <w:szCs w:val="28"/>
        </w:rPr>
        <w:t xml:space="preserve">élibération </w:t>
      </w:r>
    </w:p>
    <w:p w:rsidR="00CA3242" w:rsidRDefault="00CA3242" w:rsidP="00CA3242">
      <w:pPr>
        <w:pStyle w:val="Corpsdetexte2"/>
        <w:spacing w:after="0" w:line="240" w:lineRule="auto"/>
        <w:jc w:val="both"/>
        <w:rPr>
          <w:rFonts w:ascii="Century Gothic" w:hAnsi="Century Gothic"/>
          <w:bCs/>
          <w:sz w:val="22"/>
          <w:szCs w:val="22"/>
        </w:rPr>
      </w:pPr>
    </w:p>
    <w:p w:rsidR="00CA3242" w:rsidRPr="003A2736" w:rsidRDefault="00CA3242" w:rsidP="00CA3242">
      <w:pPr>
        <w:jc w:val="both"/>
        <w:rPr>
          <w:rFonts w:ascii="Century Gothic" w:hAnsi="Century Gothic"/>
        </w:rPr>
      </w:pP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r w:rsidRPr="003A2736">
        <w:rPr>
          <w:rFonts w:ascii="Century Gothic" w:hAnsi="Century Gothic"/>
        </w:rPr>
        <w:sym w:font="Wingdings" w:char="F0B2"/>
      </w:r>
    </w:p>
    <w:p w:rsidR="00CA3242" w:rsidRDefault="00CD4B1C" w:rsidP="00AE6203">
      <w:pPr>
        <w:spacing w:after="0" w:line="240" w:lineRule="auto"/>
        <w:rPr>
          <w:rFonts w:ascii="Century Gothic" w:hAnsi="Century Gothic"/>
        </w:rPr>
      </w:pPr>
      <w:r>
        <w:rPr>
          <w:rFonts w:ascii="Century Gothic" w:hAnsi="Century Gothic"/>
        </w:rPr>
        <w:t xml:space="preserve">Objet : </w:t>
      </w:r>
      <w:r w:rsidR="00AE6203" w:rsidRPr="00AE6203">
        <w:rPr>
          <w:rFonts w:ascii="Century Gothic" w:hAnsi="Century Gothic"/>
        </w:rPr>
        <w:t xml:space="preserve">Modèle de délibération </w:t>
      </w:r>
      <w:r w:rsidR="00AE6203" w:rsidRPr="00AE6203">
        <w:rPr>
          <w:rFonts w:ascii="Century Gothic" w:hAnsi="Century Gothic"/>
        </w:rPr>
        <w:t xml:space="preserve">d’adhésion à la mission de médiation proposée par le CDG </w:t>
      </w:r>
      <w:r w:rsidR="00AE6203">
        <w:rPr>
          <w:rFonts w:ascii="Century Gothic" w:hAnsi="Century Gothic"/>
        </w:rPr>
        <w:t>30</w:t>
      </w:r>
      <w:bookmarkStart w:id="0" w:name="_GoBack"/>
      <w:bookmarkEnd w:id="0"/>
    </w:p>
    <w:p w:rsidR="00CA3242" w:rsidRDefault="00CA3242" w:rsidP="00CA3242">
      <w:pPr>
        <w:pStyle w:val="LeMairerappellepropose"/>
        <w:spacing w:before="0" w:after="0"/>
        <w:jc w:val="left"/>
        <w:rPr>
          <w:rFonts w:ascii="Century Gothic" w:hAnsi="Century Gothic"/>
          <w:b w:val="0"/>
          <w:sz w:val="22"/>
          <w:szCs w:val="22"/>
        </w:rPr>
      </w:pP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 Elle a en effet inséré un nouvel article (article 25-2) dans la loi n° 84-53 du 26 janvier 1984 qui oblige les Centres de gestion à proposer par convention, une mission de médiation préalable obligatoire prévue à l’article L. 213-11 du code de justice administrative. Elle permet également aux Centres de gestion 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En adhérant à cette mission, la collectivité (ou l’établissement) prend acte que les recours formés contre des décisions individuelles dont la liste est déterminée par décret et qui concernent la situation de ses agents sont, à peine d’irrecevabilité, précédés d’une tentative de médiation. Pour information, le décret n° 2022-</w:t>
      </w:r>
      <w:r>
        <w:rPr>
          <w:rFonts w:ascii="Century Gothic" w:hAnsi="Century Gothic"/>
        </w:rPr>
        <w:t xml:space="preserve">433 du 25 mars 2022 </w:t>
      </w:r>
      <w:r w:rsidRPr="00C42A39">
        <w:rPr>
          <w:rFonts w:ascii="Century Gothic" w:hAnsi="Century Gothic"/>
        </w:rPr>
        <w:t>fixe ainsi la liste des litiges ouverts à la médiation préalable obligatoire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1.</w:t>
      </w:r>
      <w:r w:rsidRPr="00C42A39">
        <w:rPr>
          <w:rFonts w:ascii="Century Gothic" w:hAnsi="Century Gothic"/>
        </w:rPr>
        <w:tab/>
        <w:t>Décisions administratives individuelles défavorables relatives à l’un des éléments de rémunération mentionnés au premier alinéa de l’article 20 de la loi du 13 juillet 1983 susvisée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2.</w:t>
      </w:r>
      <w:r w:rsidRPr="00C42A39">
        <w:rPr>
          <w:rFonts w:ascii="Century Gothic" w:hAnsi="Century Gothic"/>
        </w:rPr>
        <w:tab/>
        <w:t>Refus de détachement, de placement en disponibilité ou de congés non rémunérés prévus pour les agents contractuels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3.</w:t>
      </w:r>
      <w:r w:rsidRPr="00C42A39">
        <w:rPr>
          <w:rFonts w:ascii="Century Gothic" w:hAnsi="Century Gothic"/>
        </w:rPr>
        <w:tab/>
        <w:t>Décisions administratives individuelles défavorables relatives à la réintégration à l’issue d’un détachement, d’un placement en disponibilité ou d’un congé parental ou relatives au réemploi d’un agent contractuel à l’issue d’un congé sans traitement</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4.</w:t>
      </w:r>
      <w:r w:rsidRPr="00C42A39">
        <w:rPr>
          <w:rFonts w:ascii="Century Gothic" w:hAnsi="Century Gothic"/>
        </w:rPr>
        <w:tab/>
        <w:t>Décisions administratives individuelles défavorables relatives au classement de l’agent à l’issue d’un avancement de grade ou d’un changement de corps obtenu par promotion interne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5.</w:t>
      </w:r>
      <w:r w:rsidRPr="00C42A39">
        <w:rPr>
          <w:rFonts w:ascii="Century Gothic" w:hAnsi="Century Gothic"/>
        </w:rPr>
        <w:tab/>
        <w:t>Décisions administratives individuelles défavorables relatives à la formation professionnelle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6.</w:t>
      </w:r>
      <w:r w:rsidRPr="00C42A39">
        <w:rPr>
          <w:rFonts w:ascii="Century Gothic" w:hAnsi="Century Gothic"/>
        </w:rPr>
        <w:tab/>
        <w:t xml:space="preserve">Décisions administratives individuelles défavorables relatives aux mesures appropriées prises par les employeurs publics à l'égard des travailleurs </w:t>
      </w:r>
      <w:r w:rsidR="003F6003" w:rsidRPr="00C42A39">
        <w:rPr>
          <w:rFonts w:ascii="Century Gothic" w:hAnsi="Century Gothic"/>
        </w:rPr>
        <w:t>handicapés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7.</w:t>
      </w:r>
      <w:r w:rsidRPr="00C42A39">
        <w:rPr>
          <w:rFonts w:ascii="Century Gothic" w:hAnsi="Century Gothic"/>
        </w:rPr>
        <w:tab/>
        <w:t>Décisions administratives individuelles relatives à l’aménagement des postes de travail.</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 xml:space="preserve">La médiation est un dispositif novateur qui a vocation à désengorger les juridictions administratives. Elle vise également à rapprocher les parties dans le cadre d'une procédure amiable, plus rapide et moins couteuse qu'un contentieux engagé devant le juge administratif.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 xml:space="preserve">Le CDG </w:t>
      </w:r>
      <w:r w:rsidR="003F6003">
        <w:rPr>
          <w:rFonts w:ascii="Century Gothic" w:hAnsi="Century Gothic"/>
        </w:rPr>
        <w:t>30</w:t>
      </w:r>
      <w:r w:rsidRPr="00C42A39">
        <w:rPr>
          <w:rFonts w:ascii="Century Gothic" w:hAnsi="Century Gothic"/>
        </w:rPr>
        <w:t xml:space="preserve"> a fixé un tarif de</w:t>
      </w:r>
      <w:r w:rsidR="003F6003">
        <w:rPr>
          <w:rFonts w:ascii="Century Gothic" w:hAnsi="Century Gothic"/>
        </w:rPr>
        <w:t xml:space="preserve"> 300€ pour les collectivités et établissements affiliés et de 500€ pour les collectivités et établissements non affiliés</w:t>
      </w:r>
      <w:r w:rsidRPr="00C42A39">
        <w:rPr>
          <w:rFonts w:ascii="Century Gothic" w:hAnsi="Century Gothic"/>
        </w:rPr>
        <w:t xml:space="preserve">.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 xml:space="preserve">Pour pouvoir bénéficier de ce service, il convient de prendre une délibération autorisant l’autorité territoriale à conventionner avec le CDG </w:t>
      </w:r>
      <w:r w:rsidR="003F6003">
        <w:rPr>
          <w:rFonts w:ascii="Century Gothic" w:hAnsi="Century Gothic"/>
        </w:rPr>
        <w:t>30</w:t>
      </w:r>
      <w:r w:rsidRPr="00C42A39">
        <w:rPr>
          <w:rFonts w:ascii="Century Gothic" w:hAnsi="Century Gothic"/>
        </w:rPr>
        <w:t>.</w:t>
      </w:r>
    </w:p>
    <w:p w:rsidR="00C42A39" w:rsidRPr="00C42A39" w:rsidRDefault="00C42A39" w:rsidP="00C42A39">
      <w:pPr>
        <w:spacing w:after="120" w:line="240" w:lineRule="auto"/>
        <w:jc w:val="both"/>
        <w:rPr>
          <w:rFonts w:ascii="Century Gothic" w:hAnsi="Century Gothic"/>
        </w:rPr>
      </w:pP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 /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 </w:t>
      </w:r>
    </w:p>
    <w:p w:rsidR="00C42A39" w:rsidRPr="00C42A39" w:rsidRDefault="00C42A39" w:rsidP="00C42A39">
      <w:pPr>
        <w:spacing w:after="120" w:line="240" w:lineRule="auto"/>
        <w:jc w:val="both"/>
        <w:rPr>
          <w:rFonts w:ascii="Century Gothic" w:hAnsi="Century Gothic"/>
        </w:rPr>
      </w:pP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Le conseil municipal,</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Vu le code de justice administrative et notamment les articles L.213-1 et suivants et les articles R. 213-1 et suivants de ce code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Vu la loi n° 84-53 du 26 janvier 1984 modifiée portant statut relatif à la fonction publique territoriale et notamment son article 25-2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Vu le décret n° 2022-</w:t>
      </w:r>
      <w:r w:rsidR="003F6003">
        <w:rPr>
          <w:rFonts w:ascii="Century Gothic" w:hAnsi="Century Gothic"/>
        </w:rPr>
        <w:t>433 du 25 mars 2022</w:t>
      </w:r>
      <w:r w:rsidRPr="00C42A39">
        <w:rPr>
          <w:rFonts w:ascii="Century Gothic" w:hAnsi="Century Gothic"/>
        </w:rPr>
        <w:t xml:space="preserve"> relatif à la procédure de médiation préalable obligatoire en matière de litiges de la fonction publique et de litiges sociaux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 xml:space="preserve">Considérant que le CDG </w:t>
      </w:r>
      <w:r w:rsidR="003F6003">
        <w:rPr>
          <w:rFonts w:ascii="Century Gothic" w:hAnsi="Century Gothic"/>
        </w:rPr>
        <w:t>30</w:t>
      </w:r>
      <w:r w:rsidRPr="00C42A39">
        <w:rPr>
          <w:rFonts w:ascii="Century Gothic" w:hAnsi="Century Gothic"/>
        </w:rPr>
        <w:t xml:space="preserve"> est habilité à intervenir pour assurer des médiations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 xml:space="preserve">Délibère et décide d’adhérer à la mission de médiation du CDG </w:t>
      </w:r>
      <w:r w:rsidR="003F6003">
        <w:rPr>
          <w:rFonts w:ascii="Century Gothic" w:hAnsi="Century Gothic"/>
        </w:rPr>
        <w:t>30</w:t>
      </w:r>
      <w:r w:rsidRPr="00C42A39">
        <w:rPr>
          <w:rFonts w:ascii="Century Gothic" w:hAnsi="Century Gothic"/>
        </w:rPr>
        <w:t xml:space="preserve">. </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Il prend acte que les recours contentieux formés contre des décisions individuelles dont la liste est déterminée par le décret n° 2022-</w:t>
      </w:r>
      <w:r w:rsidR="003F6003">
        <w:rPr>
          <w:rFonts w:ascii="Century Gothic" w:hAnsi="Century Gothic"/>
        </w:rPr>
        <w:t>433</w:t>
      </w:r>
      <w:r w:rsidRPr="00C42A39">
        <w:rPr>
          <w:rFonts w:ascii="Century Gothic" w:hAnsi="Century Gothic"/>
        </w:rPr>
        <w:t xml:space="preserve"> du</w:t>
      </w:r>
      <w:r w:rsidR="003F6003">
        <w:rPr>
          <w:rFonts w:ascii="Century Gothic" w:hAnsi="Century Gothic"/>
        </w:rPr>
        <w:t xml:space="preserve"> 25 mars 2022</w:t>
      </w:r>
      <w:r w:rsidRPr="00C42A39">
        <w:rPr>
          <w:rFonts w:ascii="Century Gothic" w:hAnsi="Century Gothic"/>
        </w:rPr>
        <w:t xml:space="preserve"> et qui concernent la situation de ses agents sont, à peine d’irrecevabilité, obligatoirement précédés d’une tentative de médiation.</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En dehors des litiges compris dans cette liste, la collectivité garde son libre arbitre de faire appel au Centre de gestion si elle l’estime utile.</w:t>
      </w:r>
    </w:p>
    <w:p w:rsidR="00C42A39" w:rsidRPr="00C42A39" w:rsidRDefault="00C42A39" w:rsidP="00C42A39">
      <w:pPr>
        <w:spacing w:after="120" w:line="240" w:lineRule="auto"/>
        <w:jc w:val="both"/>
        <w:rPr>
          <w:rFonts w:ascii="Century Gothic" w:hAnsi="Century Gothic"/>
        </w:rPr>
      </w:pPr>
      <w:r w:rsidRPr="00C42A39">
        <w:rPr>
          <w:rFonts w:ascii="Century Gothic" w:hAnsi="Century Gothic"/>
        </w:rPr>
        <w:t>La collectivité rémunèrera le Centre de gestion à chaque médiation engagée au tarif de</w:t>
      </w:r>
      <w:r w:rsidR="003F6003" w:rsidRPr="003F6003">
        <w:rPr>
          <w:rFonts w:ascii="Century Gothic" w:hAnsi="Century Gothic"/>
        </w:rPr>
        <w:t xml:space="preserve"> 300€ pour les collectivités et établissements affiliés et de 500€ pour les collectivités et établissements non affiliés. </w:t>
      </w:r>
    </w:p>
    <w:p w:rsidR="003F6003" w:rsidRDefault="00C42A39" w:rsidP="00C42A39">
      <w:pPr>
        <w:spacing w:after="120" w:line="240" w:lineRule="auto"/>
        <w:jc w:val="both"/>
        <w:rPr>
          <w:rFonts w:ascii="Century Gothic" w:hAnsi="Century Gothic"/>
        </w:rPr>
      </w:pPr>
      <w:r w:rsidRPr="00C42A39">
        <w:rPr>
          <w:rFonts w:ascii="Century Gothic" w:hAnsi="Century Gothic"/>
        </w:rPr>
        <w:t xml:space="preserve">Le Maire (ou le Président) est autorisé à signer la convention d’adhésion à la mission de médiation proposée par le CDG </w:t>
      </w:r>
      <w:r w:rsidR="003F6003">
        <w:rPr>
          <w:rFonts w:ascii="Century Gothic" w:hAnsi="Century Gothic"/>
        </w:rPr>
        <w:t>30</w:t>
      </w:r>
      <w:r w:rsidRPr="00C42A39">
        <w:rPr>
          <w:rFonts w:ascii="Century Gothic" w:hAnsi="Century Gothic"/>
        </w:rPr>
        <w:t xml:space="preserve"> annexée à la présente délibération, ainsi que tous les actes y afférents.</w:t>
      </w:r>
      <w:r w:rsidR="003F6003">
        <w:rPr>
          <w:rFonts w:ascii="Century Gothic" w:hAnsi="Century Gothic"/>
        </w:rPr>
        <w:t xml:space="preserve"> </w:t>
      </w:r>
    </w:p>
    <w:p w:rsidR="003F6003" w:rsidRDefault="003F6003" w:rsidP="00C42A39">
      <w:pPr>
        <w:spacing w:after="120" w:line="240" w:lineRule="auto"/>
        <w:jc w:val="both"/>
        <w:rPr>
          <w:rFonts w:ascii="Century Gothic" w:hAnsi="Century Gothic"/>
        </w:rPr>
      </w:pPr>
    </w:p>
    <w:p w:rsidR="00551E4F" w:rsidRPr="00551E4F" w:rsidRDefault="00551E4F" w:rsidP="000B4850">
      <w:pPr>
        <w:pStyle w:val="Paragraphedeliste"/>
        <w:spacing w:after="120" w:line="240" w:lineRule="auto"/>
        <w:ind w:left="360"/>
        <w:jc w:val="both"/>
        <w:rPr>
          <w:rFonts w:ascii="Century Gothic" w:hAnsi="Century Gothic"/>
        </w:rPr>
      </w:pPr>
    </w:p>
    <w:p w:rsidR="00567125" w:rsidRDefault="00567125" w:rsidP="00E1725E">
      <w:pPr>
        <w:ind w:left="3540" w:firstLine="708"/>
        <w:rPr>
          <w:rFonts w:ascii="Century Gothic" w:hAnsi="Century Gothic"/>
        </w:rPr>
      </w:pPr>
    </w:p>
    <w:p w:rsidR="00E1725E" w:rsidRPr="00AF0440" w:rsidRDefault="00E1725E" w:rsidP="00E1725E">
      <w:pPr>
        <w:ind w:left="3540" w:firstLine="708"/>
        <w:rPr>
          <w:rFonts w:ascii="Century Gothic" w:hAnsi="Century Gothic"/>
        </w:rPr>
      </w:pPr>
      <w:r w:rsidRPr="00AF0440">
        <w:rPr>
          <w:rFonts w:ascii="Century Gothic" w:hAnsi="Century Gothic"/>
        </w:rPr>
        <w:t xml:space="preserve">Fait à </w:t>
      </w:r>
      <w:r w:rsidR="00994F57">
        <w:rPr>
          <w:rFonts w:ascii="Century Gothic" w:hAnsi="Century Gothic"/>
        </w:rPr>
        <w:t>……….</w:t>
      </w:r>
      <w:r w:rsidRPr="00AF0440">
        <w:rPr>
          <w:rFonts w:ascii="Century Gothic" w:hAnsi="Century Gothic"/>
        </w:rPr>
        <w:t>,</w:t>
      </w:r>
      <w:r w:rsidR="00EE2064">
        <w:rPr>
          <w:rFonts w:ascii="Century Gothic" w:hAnsi="Century Gothic"/>
        </w:rPr>
        <w:t>..</w:t>
      </w:r>
      <w:r w:rsidRPr="00AF0440">
        <w:rPr>
          <w:rFonts w:ascii="Century Gothic" w:hAnsi="Century Gothic"/>
        </w:rPr>
        <w:t xml:space="preserve"> </w:t>
      </w:r>
      <w:proofErr w:type="gramStart"/>
      <w:r w:rsidRPr="00AF0440">
        <w:rPr>
          <w:rFonts w:ascii="Century Gothic" w:hAnsi="Century Gothic"/>
        </w:rPr>
        <w:t>le</w:t>
      </w:r>
      <w:proofErr w:type="gramEnd"/>
      <w:r w:rsidRPr="00AF0440">
        <w:rPr>
          <w:rFonts w:ascii="Century Gothic" w:hAnsi="Century Gothic"/>
        </w:rPr>
        <w:t xml:space="preserve"> </w:t>
      </w:r>
      <w:r w:rsidR="00994F57">
        <w:rPr>
          <w:rFonts w:ascii="Century Gothic" w:hAnsi="Century Gothic"/>
        </w:rPr>
        <w:t>……………..</w:t>
      </w:r>
    </w:p>
    <w:p w:rsidR="00E1725E" w:rsidRPr="003A2736" w:rsidRDefault="00E1725E" w:rsidP="00E1725E">
      <w:pPr>
        <w:spacing w:after="0" w:line="240" w:lineRule="auto"/>
        <w:rPr>
          <w:rFonts w:ascii="Century Gothic" w:hAnsi="Century Gothic"/>
          <w:sz w:val="16"/>
          <w:szCs w:val="16"/>
        </w:rPr>
      </w:pPr>
      <w:r w:rsidRPr="00AF0440">
        <w:rPr>
          <w:rFonts w:ascii="Century Gothic" w:hAnsi="Century Gothic"/>
        </w:rPr>
        <w:t xml:space="preserve">                                                                     </w:t>
      </w:r>
      <w:r w:rsidRPr="00AF0440">
        <w:rPr>
          <w:rFonts w:ascii="Century Gothic" w:hAnsi="Century Gothic"/>
        </w:rPr>
        <w:tab/>
      </w:r>
    </w:p>
    <w:p w:rsidR="00E1725E" w:rsidRPr="003A2736" w:rsidRDefault="00E1725E" w:rsidP="00994F57">
      <w:pPr>
        <w:spacing w:after="0" w:line="240" w:lineRule="auto"/>
        <w:rPr>
          <w:rFonts w:ascii="Century Gothic" w:hAnsi="Century Gothic"/>
          <w:bCs/>
          <w:sz w:val="16"/>
          <w:szCs w:val="16"/>
        </w:rPr>
      </w:pPr>
      <w:r w:rsidRPr="00AF0440">
        <w:rPr>
          <w:rFonts w:ascii="Century Gothic" w:hAnsi="Century Gothic"/>
        </w:rPr>
        <w:tab/>
      </w:r>
      <w:r w:rsidRPr="00AF0440">
        <w:rPr>
          <w:rFonts w:ascii="Century Gothic" w:hAnsi="Century Gothic"/>
        </w:rPr>
        <w:tab/>
      </w:r>
      <w:r w:rsidRPr="00AF0440">
        <w:rPr>
          <w:rFonts w:ascii="Century Gothic" w:hAnsi="Century Gothic"/>
        </w:rPr>
        <w:tab/>
      </w:r>
      <w:r w:rsidRPr="00AF0440">
        <w:rPr>
          <w:rFonts w:ascii="Century Gothic" w:hAnsi="Century Gothic"/>
        </w:rPr>
        <w:tab/>
      </w:r>
      <w:r w:rsidRPr="00AF0440">
        <w:rPr>
          <w:rFonts w:ascii="Century Gothic" w:hAnsi="Century Gothic"/>
        </w:rPr>
        <w:tab/>
      </w:r>
      <w:r w:rsidRPr="00AF0440">
        <w:rPr>
          <w:rFonts w:ascii="Century Gothic" w:hAnsi="Century Gothic"/>
        </w:rPr>
        <w:tab/>
      </w:r>
      <w:r w:rsidR="00994F57">
        <w:rPr>
          <w:rFonts w:ascii="Century Gothic" w:hAnsi="Century Gothic"/>
        </w:rPr>
        <w:t>Le Maire (ou le Président)</w:t>
      </w:r>
    </w:p>
    <w:p w:rsidR="00E1725E" w:rsidRDefault="00E1725E" w:rsidP="00E1725E">
      <w:pPr>
        <w:spacing w:after="0" w:line="240" w:lineRule="auto"/>
      </w:pPr>
      <w:r w:rsidRPr="00020770">
        <w:rPr>
          <w:rFonts w:ascii="Century Gothic" w:hAnsi="Century Gothic" w:cs="TrebuchetMS"/>
          <w:i/>
          <w:sz w:val="16"/>
          <w:szCs w:val="16"/>
        </w:rPr>
        <w:t>.</w:t>
      </w:r>
    </w:p>
    <w:sectPr w:rsidR="00E1725E" w:rsidSect="00567125">
      <w:pgSz w:w="11906" w:h="16838"/>
      <w:pgMar w:top="851" w:right="851"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56D"/>
    <w:multiLevelType w:val="hybridMultilevel"/>
    <w:tmpl w:val="9F2CC4C6"/>
    <w:lvl w:ilvl="0" w:tplc="56A2D89E">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DB7FB2"/>
    <w:multiLevelType w:val="hybridMultilevel"/>
    <w:tmpl w:val="DF8A7682"/>
    <w:lvl w:ilvl="0" w:tplc="3F0C1E3A">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7B"/>
    <w:rsid w:val="00001E76"/>
    <w:rsid w:val="00027D12"/>
    <w:rsid w:val="00085F54"/>
    <w:rsid w:val="000B45BA"/>
    <w:rsid w:val="000B4850"/>
    <w:rsid w:val="000F04AF"/>
    <w:rsid w:val="001A14D0"/>
    <w:rsid w:val="001B52F4"/>
    <w:rsid w:val="001C2F32"/>
    <w:rsid w:val="001D1A9E"/>
    <w:rsid w:val="00202179"/>
    <w:rsid w:val="00216F32"/>
    <w:rsid w:val="00250700"/>
    <w:rsid w:val="002A7DD9"/>
    <w:rsid w:val="00305AF8"/>
    <w:rsid w:val="00317307"/>
    <w:rsid w:val="00370FFA"/>
    <w:rsid w:val="003C367B"/>
    <w:rsid w:val="003F6003"/>
    <w:rsid w:val="00406D76"/>
    <w:rsid w:val="00415F6F"/>
    <w:rsid w:val="004671C9"/>
    <w:rsid w:val="004E43BE"/>
    <w:rsid w:val="005142BC"/>
    <w:rsid w:val="0054615F"/>
    <w:rsid w:val="00551E4F"/>
    <w:rsid w:val="00567125"/>
    <w:rsid w:val="00584C36"/>
    <w:rsid w:val="005A0379"/>
    <w:rsid w:val="005B4C9E"/>
    <w:rsid w:val="005D33DC"/>
    <w:rsid w:val="005D48AB"/>
    <w:rsid w:val="005E3C2E"/>
    <w:rsid w:val="00674277"/>
    <w:rsid w:val="006773ED"/>
    <w:rsid w:val="0068205D"/>
    <w:rsid w:val="00682935"/>
    <w:rsid w:val="00690D89"/>
    <w:rsid w:val="006B19E7"/>
    <w:rsid w:val="006C2F60"/>
    <w:rsid w:val="0072075D"/>
    <w:rsid w:val="00722A12"/>
    <w:rsid w:val="0075362C"/>
    <w:rsid w:val="00773872"/>
    <w:rsid w:val="0079013F"/>
    <w:rsid w:val="007A364F"/>
    <w:rsid w:val="007D13DB"/>
    <w:rsid w:val="008006F2"/>
    <w:rsid w:val="00826D4D"/>
    <w:rsid w:val="00843D04"/>
    <w:rsid w:val="008563B3"/>
    <w:rsid w:val="008F1985"/>
    <w:rsid w:val="009270D5"/>
    <w:rsid w:val="00954A28"/>
    <w:rsid w:val="00994F57"/>
    <w:rsid w:val="0099669B"/>
    <w:rsid w:val="009C5881"/>
    <w:rsid w:val="009C5AB1"/>
    <w:rsid w:val="009F4ADB"/>
    <w:rsid w:val="00A05846"/>
    <w:rsid w:val="00A21036"/>
    <w:rsid w:val="00A27B52"/>
    <w:rsid w:val="00A353E2"/>
    <w:rsid w:val="00A9609B"/>
    <w:rsid w:val="00AE6203"/>
    <w:rsid w:val="00B34D08"/>
    <w:rsid w:val="00B359AD"/>
    <w:rsid w:val="00B404D8"/>
    <w:rsid w:val="00B90186"/>
    <w:rsid w:val="00BA58D5"/>
    <w:rsid w:val="00BD190D"/>
    <w:rsid w:val="00BD75D8"/>
    <w:rsid w:val="00C42A39"/>
    <w:rsid w:val="00C437DC"/>
    <w:rsid w:val="00C84AE9"/>
    <w:rsid w:val="00C9447B"/>
    <w:rsid w:val="00CA3242"/>
    <w:rsid w:val="00CB6675"/>
    <w:rsid w:val="00CD4B1C"/>
    <w:rsid w:val="00D80DCD"/>
    <w:rsid w:val="00DD46F0"/>
    <w:rsid w:val="00E1725E"/>
    <w:rsid w:val="00E42E67"/>
    <w:rsid w:val="00E55867"/>
    <w:rsid w:val="00E6632C"/>
    <w:rsid w:val="00E677DD"/>
    <w:rsid w:val="00EE2064"/>
    <w:rsid w:val="00F37ACE"/>
    <w:rsid w:val="00F4363C"/>
    <w:rsid w:val="00F6451B"/>
    <w:rsid w:val="00F71C0B"/>
    <w:rsid w:val="00FA7E67"/>
    <w:rsid w:val="00FF3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04FF"/>
  <w15:docId w15:val="{66A2FF5D-2E4D-4615-A250-F5BAC52F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367B"/>
    <w:pPr>
      <w:suppressAutoHyphens/>
      <w:autoSpaceDN w:val="0"/>
      <w:textAlignment w:val="baseline"/>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36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67B"/>
    <w:rPr>
      <w:rFonts w:ascii="Tahoma" w:eastAsia="Calibri" w:hAnsi="Tahoma" w:cs="Tahoma"/>
      <w:sz w:val="16"/>
      <w:szCs w:val="16"/>
    </w:rPr>
  </w:style>
  <w:style w:type="paragraph" w:styleId="Paragraphedeliste">
    <w:name w:val="List Paragraph"/>
    <w:basedOn w:val="Normal"/>
    <w:uiPriority w:val="34"/>
    <w:qFormat/>
    <w:rsid w:val="00F37ACE"/>
    <w:pPr>
      <w:ind w:left="720"/>
      <w:contextualSpacing/>
    </w:pPr>
  </w:style>
  <w:style w:type="character" w:styleId="lev">
    <w:name w:val="Strong"/>
    <w:basedOn w:val="Policepardfaut"/>
    <w:uiPriority w:val="22"/>
    <w:qFormat/>
    <w:rsid w:val="00250700"/>
    <w:rPr>
      <w:b/>
      <w:bCs/>
    </w:rPr>
  </w:style>
  <w:style w:type="paragraph" w:styleId="Corpsdetexte2">
    <w:name w:val="Body Text 2"/>
    <w:basedOn w:val="Normal"/>
    <w:link w:val="Corpsdetexte2Car"/>
    <w:semiHidden/>
    <w:unhideWhenUsed/>
    <w:rsid w:val="00CA3242"/>
    <w:pPr>
      <w:suppressAutoHyphens w:val="0"/>
      <w:autoSpaceDN/>
      <w:spacing w:after="120" w:line="480" w:lineRule="auto"/>
      <w:textAlignment w:val="auto"/>
    </w:pPr>
    <w:rPr>
      <w:rFonts w:ascii="Times New Roman" w:eastAsia="Times New Roman" w:hAnsi="Times New Roman"/>
      <w:sz w:val="24"/>
      <w:szCs w:val="24"/>
      <w:lang w:eastAsia="fr-FR"/>
    </w:rPr>
  </w:style>
  <w:style w:type="character" w:customStyle="1" w:styleId="Corpsdetexte2Car">
    <w:name w:val="Corps de texte 2 Car"/>
    <w:basedOn w:val="Policepardfaut"/>
    <w:link w:val="Corpsdetexte2"/>
    <w:semiHidden/>
    <w:rsid w:val="00CA3242"/>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CA3242"/>
    <w:pPr>
      <w:widowControl w:val="0"/>
      <w:tabs>
        <w:tab w:val="left" w:pos="3093"/>
      </w:tabs>
      <w:suppressAutoHyphens w:val="0"/>
      <w:autoSpaceDN/>
      <w:spacing w:after="0" w:line="240" w:lineRule="auto"/>
      <w:jc w:val="center"/>
      <w:textAlignment w:val="auto"/>
    </w:pPr>
    <w:rPr>
      <w:rFonts w:ascii="Century Gothic" w:eastAsia="Times New Roman" w:hAnsi="Century Gothic"/>
      <w:lang w:eastAsia="fr-FR"/>
    </w:rPr>
  </w:style>
  <w:style w:type="paragraph" w:customStyle="1" w:styleId="LeMairerappellepropose">
    <w:name w:val="Le Maire rappelle/propose"/>
    <w:basedOn w:val="Normal"/>
    <w:rsid w:val="00CA3242"/>
    <w:pPr>
      <w:suppressAutoHyphens w:val="0"/>
      <w:autoSpaceDE w:val="0"/>
      <w:spacing w:before="240" w:after="240" w:line="240" w:lineRule="auto"/>
      <w:jc w:val="both"/>
      <w:textAlignment w:val="auto"/>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5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56E5-EFC8-4574-AEBD-9ECE2329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738</Words>
  <Characters>4064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20C_Marion</dc:creator>
  <cp:lastModifiedBy>Nathalie Arioli</cp:lastModifiedBy>
  <cp:revision>5</cp:revision>
  <cp:lastPrinted>2018-03-26T06:59:00Z</cp:lastPrinted>
  <dcterms:created xsi:type="dcterms:W3CDTF">2022-03-28T08:30:00Z</dcterms:created>
  <dcterms:modified xsi:type="dcterms:W3CDTF">2022-03-29T06:33:00Z</dcterms:modified>
</cp:coreProperties>
</file>