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w:t>
      </w:r>
      <w:r w:rsidR="00362935">
        <w:rPr>
          <w:b/>
        </w:rPr>
        <w:t>IN</w:t>
      </w:r>
      <w:r>
        <w:rPr>
          <w:b/>
        </w:rPr>
        <w:t xml:space="preserve">DÉTERMINÉE </w:t>
      </w:r>
    </w:p>
    <w:p w:rsidR="006218BD" w:rsidRDefault="003645CB" w:rsidP="005D4F3D">
      <w:pPr>
        <w:spacing w:after="0" w:line="259" w:lineRule="auto"/>
        <w:ind w:right="9"/>
        <w:jc w:val="center"/>
      </w:pPr>
      <w:r>
        <w:rPr>
          <w:b/>
        </w:rPr>
        <w:t>(</w:t>
      </w:r>
      <w:r w:rsidR="00DB1471" w:rsidRPr="00DB1471">
        <w:rPr>
          <w:b/>
          <w:i/>
        </w:rPr>
        <w:t xml:space="preserve">Contrat à durée indéterminée </w:t>
      </w:r>
      <w:r w:rsidR="00F955FE">
        <w:rPr>
          <w:b/>
          <w:i/>
        </w:rPr>
        <w:t>suite à transfert de compétence depuis une entité économique employant des salariés de droit privé</w:t>
      </w:r>
      <w:r>
        <w:rPr>
          <w:b/>
        </w:rPr>
        <w:t xml:space="preserve">) </w:t>
      </w:r>
    </w:p>
    <w:p w:rsidR="006218BD" w:rsidRDefault="003645CB">
      <w:pPr>
        <w:spacing w:after="0" w:line="259" w:lineRule="auto"/>
        <w:ind w:right="10"/>
        <w:jc w:val="center"/>
      </w:pPr>
      <w:r>
        <w:rPr>
          <w:b/>
        </w:rPr>
        <w:t xml:space="preserve">ÉTABLI EN APPLICATION DES DISPOSITIONS DE L'ARTICLE </w:t>
      </w:r>
      <w:r w:rsidR="00C1223F">
        <w:rPr>
          <w:b/>
        </w:rPr>
        <w:t>L.</w:t>
      </w:r>
      <w:r w:rsidR="00F955FE">
        <w:rPr>
          <w:b/>
        </w:rPr>
        <w:t>1224-3</w:t>
      </w:r>
    </w:p>
    <w:p w:rsidR="006218BD" w:rsidRDefault="00C1223F">
      <w:pPr>
        <w:spacing w:after="0" w:line="259" w:lineRule="auto"/>
        <w:ind w:right="10"/>
        <w:jc w:val="center"/>
      </w:pPr>
      <w:r>
        <w:rPr>
          <w:b/>
        </w:rPr>
        <w:t xml:space="preserve">DU CODE </w:t>
      </w:r>
      <w:r w:rsidR="00F955FE">
        <w:rPr>
          <w:b/>
        </w:rPr>
        <w:t>DU TRAVAIL</w:t>
      </w:r>
    </w:p>
    <w:p w:rsidR="006218BD" w:rsidRDefault="003645CB">
      <w:pPr>
        <w:spacing w:after="0" w:line="259" w:lineRule="auto"/>
        <w:ind w:left="55" w:firstLine="0"/>
        <w:jc w:val="center"/>
      </w:pPr>
      <w:r>
        <w:rPr>
          <w:b/>
        </w:rPr>
        <w:t xml:space="preserve"> </w:t>
      </w:r>
    </w:p>
    <w:p w:rsidR="000D3D4B" w:rsidRDefault="000D3D4B" w:rsidP="000D3D4B">
      <w:pPr>
        <w:pStyle w:val="VuConsidrant"/>
        <w:spacing w:after="60"/>
        <w:rPr>
          <w:rFonts w:asciiTheme="minorHAnsi" w:hAnsiTheme="minorHAnsi" w:cstheme="minorHAnsi"/>
          <w:i/>
          <w:sz w:val="18"/>
          <w:szCs w:val="18"/>
        </w:rPr>
      </w:pPr>
      <w:r w:rsidRPr="00D965BE">
        <w:rPr>
          <w:rFonts w:asciiTheme="minorHAnsi" w:hAnsiTheme="minorHAnsi" w:cstheme="minorHAnsi"/>
          <w:b/>
          <w:i/>
          <w:sz w:val="18"/>
          <w:szCs w:val="18"/>
        </w:rPr>
        <w:t>Rappel</w:t>
      </w:r>
      <w:r w:rsidRPr="00244D4E">
        <w:rPr>
          <w:rFonts w:asciiTheme="minorHAnsi" w:hAnsiTheme="minorHAnsi" w:cstheme="minorHAnsi"/>
          <w:i/>
          <w:sz w:val="18"/>
          <w:szCs w:val="18"/>
        </w:rPr>
        <w:t xml:space="preserve"> : </w:t>
      </w:r>
      <w:r w:rsidR="00F955FE" w:rsidRPr="00F955FE">
        <w:rPr>
          <w:rFonts w:asciiTheme="minorHAnsi" w:hAnsiTheme="minorHAnsi" w:cstheme="minorHAnsi"/>
          <w:i/>
          <w:sz w:val="18"/>
          <w:szCs w:val="18"/>
        </w:rPr>
        <w:t>Lorsque l'activité d'une entité économique employant des salariés de droit privé est, par transfert de cette entité, reprise par une personne publique dans le cadre d'un service public administratif, il appartient à cette personne publique de proposer à ces salariés un contrat de droit public, à durée déterminée ou indéterminée selon la nature du contrat dont ils sont titulaires.</w:t>
      </w:r>
    </w:p>
    <w:p w:rsidR="00F955FE" w:rsidRPr="00F955FE" w:rsidRDefault="00F955FE" w:rsidP="00F955FE">
      <w:pPr>
        <w:pStyle w:val="VuConsidrant"/>
        <w:spacing w:after="60"/>
        <w:rPr>
          <w:rFonts w:asciiTheme="minorHAnsi" w:hAnsiTheme="minorHAnsi" w:cstheme="minorHAnsi"/>
          <w:i/>
          <w:sz w:val="18"/>
          <w:szCs w:val="18"/>
        </w:rPr>
      </w:pPr>
      <w:r w:rsidRPr="00F955FE">
        <w:rPr>
          <w:rFonts w:asciiTheme="minorHAnsi" w:hAnsiTheme="minorHAnsi" w:cstheme="minorHAnsi"/>
          <w:i/>
          <w:sz w:val="18"/>
          <w:szCs w:val="18"/>
        </w:rPr>
        <w:t xml:space="preserve">Sauf disposition légale ou conditions générales de rémunération et d'emploi des agents non titulaires de la personne publique contraires, </w:t>
      </w:r>
      <w:r w:rsidRPr="00D965BE">
        <w:rPr>
          <w:rFonts w:asciiTheme="minorHAnsi" w:hAnsiTheme="minorHAnsi" w:cstheme="minorHAnsi"/>
          <w:i/>
          <w:sz w:val="18"/>
          <w:szCs w:val="18"/>
          <w:u w:val="single"/>
        </w:rPr>
        <w:t>le contrat qu'elle propose reprend les clauses substantielles du contrat dont les salariés sont titulaires, en particulier celles qui concernent la rémunération</w:t>
      </w:r>
      <w:r>
        <w:rPr>
          <w:rFonts w:asciiTheme="minorHAnsi" w:hAnsiTheme="minorHAnsi" w:cstheme="minorHAnsi"/>
          <w:i/>
          <w:sz w:val="18"/>
          <w:szCs w:val="18"/>
        </w:rPr>
        <w:t>.</w:t>
      </w:r>
    </w:p>
    <w:p w:rsidR="00F955FE" w:rsidRPr="00F955FE" w:rsidRDefault="00F955FE" w:rsidP="00F955FE">
      <w:pPr>
        <w:pStyle w:val="VuConsidrant"/>
        <w:spacing w:after="60"/>
        <w:rPr>
          <w:rFonts w:asciiTheme="minorHAnsi" w:hAnsiTheme="minorHAnsi" w:cstheme="minorHAnsi"/>
          <w:i/>
          <w:sz w:val="18"/>
          <w:szCs w:val="18"/>
        </w:rPr>
      </w:pPr>
      <w:r w:rsidRPr="00F955FE">
        <w:rPr>
          <w:rFonts w:asciiTheme="minorHAnsi" w:hAnsiTheme="minorHAnsi" w:cstheme="minorHAnsi"/>
          <w:i/>
          <w:sz w:val="18"/>
          <w:szCs w:val="18"/>
        </w:rPr>
        <w:t xml:space="preserve">Les services accomplis au sein de l'entité économique d'origine sont assimilés à des services accomplis au sein de </w:t>
      </w:r>
      <w:r>
        <w:rPr>
          <w:rFonts w:asciiTheme="minorHAnsi" w:hAnsiTheme="minorHAnsi" w:cstheme="minorHAnsi"/>
          <w:i/>
          <w:sz w:val="18"/>
          <w:szCs w:val="18"/>
        </w:rPr>
        <w:t>la personne publique d'accueil.</w:t>
      </w:r>
    </w:p>
    <w:p w:rsidR="00F955FE" w:rsidRPr="00244D4E" w:rsidRDefault="00F955FE" w:rsidP="00F955FE">
      <w:pPr>
        <w:pStyle w:val="VuConsidrant"/>
        <w:spacing w:after="60"/>
        <w:rPr>
          <w:rFonts w:asciiTheme="minorHAnsi" w:hAnsiTheme="minorHAnsi" w:cstheme="minorHAnsi"/>
          <w:i/>
          <w:sz w:val="18"/>
          <w:szCs w:val="18"/>
        </w:rPr>
      </w:pPr>
      <w:r w:rsidRPr="00F955FE">
        <w:rPr>
          <w:rFonts w:asciiTheme="minorHAnsi" w:hAnsiTheme="minorHAnsi" w:cstheme="minorHAnsi"/>
          <w:i/>
          <w:sz w:val="18"/>
          <w:szCs w:val="18"/>
        </w:rPr>
        <w:t>En cas de refus des salariés d'accepter le contrat proposé, leur contrat prend fin de plein droit. La personne publique applique les dispositions relatives aux agents licenciés prévues par le droit du travail et par leur contrat.</w:t>
      </w:r>
    </w:p>
    <w:p w:rsidR="006218BD" w:rsidRDefault="006218BD">
      <w:pPr>
        <w:spacing w:after="139" w:line="232" w:lineRule="auto"/>
        <w:ind w:left="0" w:right="4906" w:firstLine="0"/>
        <w:jc w:val="left"/>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866EEB" w:rsidRPr="00866EEB">
        <w:rPr>
          <w:rFonts w:ascii="Calibri" w:eastAsia="Calibri" w:hAnsi="Calibri" w:cs="Calibri"/>
          <w:iCs/>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F955FE" w:rsidRDefault="00F955FE"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Vu le code du travail, notamment son article L.1224-3,</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le code général de la fonction publique,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0D3D4B" w:rsidRPr="00467F80" w:rsidRDefault="000D3D4B" w:rsidP="000D3D4B">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B42215" w:rsidRPr="00DA66AA" w:rsidRDefault="00B42215" w:rsidP="00B42215">
      <w:pPr>
        <w:pStyle w:val="Default"/>
        <w:spacing w:after="60"/>
        <w:jc w:val="both"/>
        <w:rPr>
          <w:rFonts w:asciiTheme="minorHAnsi" w:hAnsiTheme="minorHAnsi" w:cstheme="minorHAnsi"/>
          <w:color w:val="auto"/>
          <w:sz w:val="18"/>
          <w:szCs w:val="18"/>
        </w:rPr>
      </w:pPr>
      <w:r w:rsidRPr="00DA66AA">
        <w:rPr>
          <w:rFonts w:asciiTheme="minorHAnsi" w:hAnsiTheme="minorHAnsi" w:cstheme="minorHAnsi"/>
          <w:color w:val="auto"/>
          <w:sz w:val="18"/>
          <w:szCs w:val="18"/>
        </w:rPr>
        <w:t>Vu la déclaration de vacance d’emploi auprès du centre de gestion</w:t>
      </w:r>
      <w:r>
        <w:rPr>
          <w:rFonts w:asciiTheme="minorHAnsi" w:hAnsiTheme="minorHAnsi" w:cstheme="minorHAnsi"/>
          <w:color w:val="auto"/>
          <w:sz w:val="18"/>
          <w:szCs w:val="18"/>
        </w:rPr>
        <w:t xml:space="preserve"> en date du [</w:t>
      </w:r>
      <w:r>
        <w:rPr>
          <w:rFonts w:asciiTheme="minorHAnsi" w:hAnsiTheme="minorHAnsi" w:cstheme="minorHAnsi"/>
          <w:b/>
          <w:color w:val="auto"/>
          <w:sz w:val="18"/>
          <w:szCs w:val="18"/>
        </w:rPr>
        <w:t>date</w:t>
      </w:r>
      <w:r>
        <w:rPr>
          <w:rFonts w:asciiTheme="minorHAnsi" w:hAnsiTheme="minorHAnsi" w:cstheme="minorHAnsi"/>
          <w:color w:val="auto"/>
          <w:sz w:val="18"/>
          <w:szCs w:val="18"/>
        </w:rPr>
        <w:t>]</w:t>
      </w:r>
      <w:r w:rsidRPr="00DA66AA">
        <w:rPr>
          <w:rFonts w:asciiTheme="minorHAnsi" w:hAnsiTheme="minorHAnsi" w:cstheme="minorHAnsi"/>
          <w:color w:val="auto"/>
          <w:sz w:val="18"/>
          <w:szCs w:val="18"/>
        </w:rPr>
        <w:t xml:space="preserve">, </w:t>
      </w:r>
    </w:p>
    <w:p w:rsidR="00E81905" w:rsidRPr="00E81905" w:rsidRDefault="00E81905" w:rsidP="000D3D4B">
      <w:pPr>
        <w:suppressAutoHyphens w:val="0"/>
        <w:autoSpaceDE w:val="0"/>
        <w:autoSpaceDN w:val="0"/>
        <w:spacing w:after="60" w:line="240" w:lineRule="auto"/>
        <w:ind w:left="0" w:firstLine="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Vu le contrat de travail établi en date du [</w:t>
      </w:r>
      <w:r>
        <w:rPr>
          <w:rFonts w:asciiTheme="minorHAnsi" w:eastAsia="Times New Roman" w:hAnsiTheme="minorHAnsi" w:cstheme="minorHAnsi"/>
          <w:b/>
          <w:color w:val="auto"/>
          <w:sz w:val="18"/>
          <w:szCs w:val="18"/>
        </w:rPr>
        <w:t>date</w:t>
      </w:r>
      <w:r>
        <w:rPr>
          <w:rFonts w:asciiTheme="minorHAnsi" w:eastAsia="Times New Roman" w:hAnsiTheme="minorHAnsi" w:cstheme="minorHAnsi"/>
          <w:color w:val="auto"/>
          <w:sz w:val="18"/>
          <w:szCs w:val="18"/>
        </w:rPr>
        <w:t>] pour une durée indéterminée entre M. ou Mme [</w:t>
      </w:r>
      <w:r>
        <w:rPr>
          <w:rFonts w:asciiTheme="minorHAnsi" w:eastAsia="Times New Roman" w:hAnsiTheme="minorHAnsi" w:cstheme="minorHAnsi"/>
          <w:b/>
          <w:color w:val="auto"/>
          <w:sz w:val="18"/>
          <w:szCs w:val="18"/>
        </w:rPr>
        <w:t>Nom, Prénom</w:t>
      </w:r>
      <w:r>
        <w:rPr>
          <w:rFonts w:asciiTheme="minorHAnsi" w:eastAsia="Times New Roman" w:hAnsiTheme="minorHAnsi" w:cstheme="minorHAnsi"/>
          <w:color w:val="auto"/>
          <w:sz w:val="18"/>
          <w:szCs w:val="18"/>
        </w:rPr>
        <w:t>] et [</w:t>
      </w:r>
      <w:r>
        <w:rPr>
          <w:rFonts w:asciiTheme="minorHAnsi" w:eastAsia="Times New Roman" w:hAnsiTheme="minorHAnsi" w:cstheme="minorHAnsi"/>
          <w:b/>
          <w:color w:val="auto"/>
          <w:sz w:val="18"/>
          <w:szCs w:val="18"/>
        </w:rPr>
        <w:t>nom de l’organisme dont est issue la compétence transférée</w:t>
      </w:r>
      <w:r>
        <w:rPr>
          <w:rFonts w:asciiTheme="minorHAnsi" w:eastAsia="Times New Roman" w:hAnsiTheme="minorHAnsi" w:cstheme="minorHAnsi"/>
          <w:color w:val="auto"/>
          <w:sz w:val="18"/>
          <w:szCs w:val="18"/>
        </w:rPr>
        <w:t>],</w:t>
      </w:r>
    </w:p>
    <w:p w:rsid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color w:val="auto"/>
          <w:sz w:val="18"/>
          <w:szCs w:val="18"/>
        </w:rPr>
      </w:pPr>
      <w:r w:rsidRPr="000D3D4B">
        <w:rPr>
          <w:rFonts w:asciiTheme="minorHAnsi" w:eastAsia="Times New Roman" w:hAnsiTheme="minorHAnsi" w:cstheme="minorHAnsi"/>
          <w:color w:val="auto"/>
          <w:sz w:val="18"/>
          <w:szCs w:val="18"/>
        </w:rPr>
        <w:t xml:space="preserve">Considérant que </w:t>
      </w:r>
      <w:r w:rsidR="00E81905">
        <w:rPr>
          <w:rFonts w:asciiTheme="minorHAnsi" w:eastAsia="Times New Roman" w:hAnsiTheme="minorHAnsi" w:cstheme="minorHAnsi"/>
          <w:color w:val="auto"/>
          <w:sz w:val="18"/>
          <w:szCs w:val="18"/>
        </w:rPr>
        <w:t>l’activité de [</w:t>
      </w:r>
      <w:r w:rsidR="00E81905">
        <w:rPr>
          <w:rFonts w:asciiTheme="minorHAnsi" w:eastAsia="Times New Roman" w:hAnsiTheme="minorHAnsi" w:cstheme="minorHAnsi"/>
          <w:b/>
          <w:color w:val="auto"/>
          <w:sz w:val="18"/>
          <w:szCs w:val="18"/>
        </w:rPr>
        <w:t>nom de l’organisme dont est issue la compétence transférée</w:t>
      </w:r>
      <w:r w:rsidR="00E81905">
        <w:rPr>
          <w:rFonts w:asciiTheme="minorHAnsi" w:eastAsia="Times New Roman" w:hAnsiTheme="minorHAnsi" w:cstheme="minorHAnsi"/>
          <w:color w:val="auto"/>
          <w:sz w:val="18"/>
          <w:szCs w:val="18"/>
        </w:rPr>
        <w:t>] est transférée auprès de [</w:t>
      </w:r>
      <w:r w:rsidR="00E81905">
        <w:rPr>
          <w:rFonts w:asciiTheme="minorHAnsi" w:eastAsia="Times New Roman" w:hAnsiTheme="minorHAnsi" w:cstheme="minorHAnsi"/>
          <w:b/>
          <w:color w:val="auto"/>
          <w:sz w:val="18"/>
          <w:szCs w:val="18"/>
        </w:rPr>
        <w:t>collectivité ou établissement public</w:t>
      </w:r>
      <w:r w:rsidR="00E81905">
        <w:rPr>
          <w:rFonts w:asciiTheme="minorHAnsi" w:eastAsia="Times New Roman" w:hAnsiTheme="minorHAnsi" w:cstheme="minorHAnsi"/>
          <w:color w:val="auto"/>
          <w:sz w:val="18"/>
          <w:szCs w:val="18"/>
        </w:rPr>
        <w:t>] à compter du [</w:t>
      </w:r>
      <w:r w:rsidR="00E81905">
        <w:rPr>
          <w:rFonts w:asciiTheme="minorHAnsi" w:eastAsia="Times New Roman" w:hAnsiTheme="minorHAnsi" w:cstheme="minorHAnsi"/>
          <w:b/>
          <w:color w:val="auto"/>
          <w:sz w:val="18"/>
          <w:szCs w:val="18"/>
        </w:rPr>
        <w:t>date</w:t>
      </w:r>
      <w:r w:rsidR="00E81905">
        <w:rPr>
          <w:rFonts w:asciiTheme="minorHAnsi" w:eastAsia="Times New Roman" w:hAnsiTheme="minorHAnsi" w:cstheme="minorHAnsi"/>
          <w:color w:val="auto"/>
          <w:sz w:val="18"/>
          <w:szCs w:val="18"/>
        </w:rPr>
        <w:t>] et qu’il convient, au titre des dispositions</w:t>
      </w:r>
      <w:r w:rsidR="00D965BE">
        <w:rPr>
          <w:rFonts w:asciiTheme="minorHAnsi" w:eastAsia="Times New Roman" w:hAnsiTheme="minorHAnsi" w:cstheme="minorHAnsi"/>
          <w:color w:val="auto"/>
          <w:sz w:val="18"/>
          <w:szCs w:val="18"/>
        </w:rPr>
        <w:t xml:space="preserve"> précitées</w:t>
      </w:r>
      <w:r w:rsidR="00E81905">
        <w:rPr>
          <w:rFonts w:asciiTheme="minorHAnsi" w:eastAsia="Times New Roman" w:hAnsiTheme="minorHAnsi" w:cstheme="minorHAnsi"/>
          <w:color w:val="auto"/>
          <w:sz w:val="18"/>
          <w:szCs w:val="18"/>
        </w:rPr>
        <w:t xml:space="preserve"> du code du travail, de proposer aux salariés de droit privé un contrat de droit public reprenant les clauses substantielles du contrat dont le</w:t>
      </w:r>
      <w:r w:rsidR="00D965BE">
        <w:rPr>
          <w:rFonts w:asciiTheme="minorHAnsi" w:eastAsia="Times New Roman" w:hAnsiTheme="minorHAnsi" w:cstheme="minorHAnsi"/>
          <w:color w:val="auto"/>
          <w:sz w:val="18"/>
          <w:szCs w:val="18"/>
        </w:rPr>
        <w:t>s</w:t>
      </w:r>
      <w:r w:rsidR="00E81905">
        <w:rPr>
          <w:rFonts w:asciiTheme="minorHAnsi" w:eastAsia="Times New Roman" w:hAnsiTheme="minorHAnsi" w:cstheme="minorHAnsi"/>
          <w:color w:val="auto"/>
          <w:sz w:val="18"/>
          <w:szCs w:val="18"/>
        </w:rPr>
        <w:t xml:space="preserve"> salarié</w:t>
      </w:r>
      <w:r w:rsidR="00D965BE">
        <w:rPr>
          <w:rFonts w:asciiTheme="minorHAnsi" w:eastAsia="Times New Roman" w:hAnsiTheme="minorHAnsi" w:cstheme="minorHAnsi"/>
          <w:color w:val="auto"/>
          <w:sz w:val="18"/>
          <w:szCs w:val="18"/>
        </w:rPr>
        <w:t>s</w:t>
      </w:r>
      <w:r w:rsidR="00E81905">
        <w:rPr>
          <w:rFonts w:asciiTheme="minorHAnsi" w:eastAsia="Times New Roman" w:hAnsiTheme="minorHAnsi" w:cstheme="minorHAnsi"/>
          <w:color w:val="auto"/>
          <w:sz w:val="18"/>
          <w:szCs w:val="18"/>
        </w:rPr>
        <w:t xml:space="preserve"> étai</w:t>
      </w:r>
      <w:r w:rsidR="00D965BE">
        <w:rPr>
          <w:rFonts w:asciiTheme="minorHAnsi" w:eastAsia="Times New Roman" w:hAnsiTheme="minorHAnsi" w:cstheme="minorHAnsi"/>
          <w:color w:val="auto"/>
          <w:sz w:val="18"/>
          <w:szCs w:val="18"/>
        </w:rPr>
        <w:t>en</w:t>
      </w:r>
      <w:r w:rsidR="00E81905">
        <w:rPr>
          <w:rFonts w:asciiTheme="minorHAnsi" w:eastAsia="Times New Roman" w:hAnsiTheme="minorHAnsi" w:cstheme="minorHAnsi"/>
          <w:color w:val="auto"/>
          <w:sz w:val="18"/>
          <w:szCs w:val="18"/>
        </w:rPr>
        <w:t>t titulaire</w:t>
      </w:r>
      <w:r w:rsidR="00D965BE">
        <w:rPr>
          <w:rFonts w:asciiTheme="minorHAnsi" w:eastAsia="Times New Roman" w:hAnsiTheme="minorHAnsi" w:cstheme="minorHAnsi"/>
          <w:color w:val="auto"/>
          <w:sz w:val="18"/>
          <w:szCs w:val="18"/>
        </w:rPr>
        <w:t>s</w:t>
      </w:r>
      <w:r>
        <w:rPr>
          <w:rFonts w:asciiTheme="minorHAnsi" w:eastAsia="Times New Roman" w:hAnsiTheme="minorHAnsi" w:cstheme="minorHAnsi"/>
          <w:color w:val="auto"/>
          <w:sz w:val="18"/>
          <w:szCs w:val="18"/>
        </w:rPr>
        <w:t>,</w:t>
      </w:r>
    </w:p>
    <w:p w:rsidR="00D965BE" w:rsidRPr="000D3D4B" w:rsidRDefault="00D965BE" w:rsidP="000D3D4B">
      <w:pPr>
        <w:suppressAutoHyphens w:val="0"/>
        <w:autoSpaceDE w:val="0"/>
        <w:autoSpaceDN w:val="0"/>
        <w:spacing w:after="60" w:line="240" w:lineRule="auto"/>
        <w:ind w:left="0" w:firstLine="0"/>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Considérant que les services accomplis au sein de l’entité économique d’origine sont assimilés à des services accomplis au sein de la personne publique d’accueil,</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w:t>
      </w:r>
      <w:r w:rsidR="000D3D4B">
        <w:rPr>
          <w:rFonts w:ascii="Calibri" w:eastAsia="Calibri" w:hAnsi="Calibri" w:cs="Calibri"/>
          <w:color w:val="auto"/>
          <w:sz w:val="18"/>
          <w:szCs w:val="18"/>
          <w:lang w:eastAsia="en-US"/>
        </w:rPr>
        <w:t>recruté</w:t>
      </w:r>
      <w:r w:rsidRPr="00467F80">
        <w:rPr>
          <w:rFonts w:ascii="Calibri" w:eastAsia="Calibri" w:hAnsi="Calibri" w:cs="Calibri"/>
          <w:color w:val="auto"/>
          <w:sz w:val="18"/>
          <w:szCs w:val="18"/>
          <w:lang w:eastAsia="en-US"/>
        </w:rPr>
        <w:t xml:space="preserve">(e) pour une durée </w:t>
      </w:r>
      <w:r w:rsidR="000D3D4B">
        <w:rPr>
          <w:rFonts w:ascii="Calibri" w:eastAsia="Calibri" w:hAnsi="Calibri" w:cs="Calibri"/>
          <w:color w:val="auto"/>
          <w:sz w:val="18"/>
          <w:szCs w:val="18"/>
          <w:lang w:eastAsia="en-US"/>
        </w:rPr>
        <w:t>indéterminée</w:t>
      </w:r>
      <w:r w:rsidRPr="00467F80">
        <w:rPr>
          <w:rFonts w:ascii="Calibri" w:eastAsia="Calibri" w:hAnsi="Calibri" w:cs="Calibri"/>
          <w:color w:val="auto"/>
          <w:sz w:val="18"/>
          <w:szCs w:val="18"/>
          <w:lang w:eastAsia="en-US"/>
        </w:rPr>
        <w:t xml:space="preserve">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en qualité de [</w:t>
      </w:r>
      <w:r w:rsidRPr="00467F80">
        <w:rPr>
          <w:rFonts w:ascii="Calibri" w:eastAsia="Calibri" w:hAnsi="Calibri" w:cs="Calibri"/>
          <w:b/>
          <w:color w:val="auto"/>
          <w:sz w:val="18"/>
          <w:szCs w:val="18"/>
          <w:lang w:eastAsia="en-US"/>
        </w:rPr>
        <w:t>intitulé du poste</w:t>
      </w:r>
      <w:r w:rsidR="00746733">
        <w:rPr>
          <w:rFonts w:ascii="Calibri" w:eastAsia="Calibri" w:hAnsi="Calibri" w:cs="Calibri"/>
          <w:b/>
          <w:color w:val="auto"/>
          <w:sz w:val="18"/>
          <w:szCs w:val="18"/>
          <w:lang w:eastAsia="en-US"/>
        </w:rPr>
        <w:t xml:space="preserve"> et grade</w:t>
      </w:r>
      <w:r w:rsidRPr="00467F80">
        <w:rPr>
          <w:rFonts w:ascii="Calibri" w:eastAsia="Calibri" w:hAnsi="Calibri" w:cs="Calibri"/>
          <w:color w:val="auto"/>
          <w:sz w:val="18"/>
          <w:szCs w:val="18"/>
          <w:lang w:eastAsia="en-US"/>
        </w:rPr>
        <w:t>], contractuel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pour assurer les fonctions suivantes :</w:t>
      </w:r>
    </w:p>
    <w:p w:rsidR="00467F80" w:rsidRPr="00467F80" w:rsidRDefault="00467F80" w:rsidP="000D3D4B">
      <w:pPr>
        <w:numPr>
          <w:ilvl w:val="0"/>
          <w:numId w:val="6"/>
        </w:numPr>
        <w:suppressAutoHyphens w:val="0"/>
        <w:autoSpaceDE w:val="0"/>
        <w:autoSpaceDN w:val="0"/>
        <w:adjustRightInd w:val="0"/>
        <w:spacing w:after="60" w:line="240" w:lineRule="auto"/>
        <w:ind w:left="1423" w:hanging="357"/>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w:t>
      </w:r>
      <w:proofErr w:type="gramStart"/>
      <w:r w:rsidRPr="00467F80">
        <w:rPr>
          <w:rFonts w:ascii="Calibri" w:eastAsia="Calibri" w:hAnsi="Calibri" w:cs="Calibri"/>
          <w:b/>
          <w:color w:val="auto"/>
          <w:sz w:val="18"/>
          <w:szCs w:val="18"/>
          <w:lang w:eastAsia="en-US"/>
        </w:rPr>
        <w:t>fonctions</w:t>
      </w:r>
      <w:proofErr w:type="gramEnd"/>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2</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3</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00C660F7">
        <w:rPr>
          <w:rFonts w:ascii="Calibri" w:eastAsia="Calibri" w:hAnsi="Calibri" w:cs="Calibri"/>
          <w:b/>
          <w:color w:val="auto"/>
          <w:sz w:val="18"/>
          <w:szCs w:val="18"/>
          <w:lang w:eastAsia="en-US"/>
        </w:rPr>
        <w:t xml:space="preserve"> reprenant celle du contrat de droit privé</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Compte tenu </w:t>
      </w:r>
      <w:r w:rsidR="00C660F7">
        <w:rPr>
          <w:rFonts w:ascii="Calibri" w:eastAsia="Calibri" w:hAnsi="Calibri" w:cs="Calibri"/>
          <w:color w:val="auto"/>
          <w:sz w:val="18"/>
          <w:szCs w:val="18"/>
          <w:lang w:eastAsia="en-US"/>
        </w:rPr>
        <w:t>du niveau de rémunération déterminé dans le contrat de droit privé dont était titulaire l’agent</w:t>
      </w:r>
      <w:r w:rsidRPr="00467F80">
        <w:rPr>
          <w:rFonts w:ascii="Calibri" w:eastAsia="Calibri" w:hAnsi="Calibri" w:cs="Calibri"/>
          <w:color w:val="auto"/>
          <w:sz w:val="18"/>
          <w:szCs w:val="18"/>
          <w:lang w:eastAsia="en-US"/>
        </w:rPr>
        <w:t xml:space="preserv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00C660F7">
        <w:rPr>
          <w:rFonts w:ascii="Calibri" w:eastAsia="Calibri" w:hAnsi="Calibri" w:cs="Calibri"/>
          <w:b/>
          <w:color w:val="auto"/>
          <w:sz w:val="18"/>
          <w:szCs w:val="18"/>
          <w:lang w:eastAsia="en-US"/>
        </w:rPr>
        <w:t xml:space="preserve"> permettant une rémunération d’un niveau au moins égal, ou à défaut supérieure à celle dont bénéficiait le salarié</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 xml:space="preserve">cas échéant)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4</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xml:space="preserve">: FORMATION D’INTÉGRATION ET DE PROFESSIONNALISATION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astreint(e) à suivre les actions de formation mentionnés à l’article L.422-28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5</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6</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D77D65">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E81905" w:rsidRPr="00467F80" w:rsidRDefault="00E81905"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 xml:space="preserve">Les services accomplis auprès de </w:t>
      </w:r>
      <w:r>
        <w:rPr>
          <w:rFonts w:asciiTheme="minorHAnsi" w:eastAsia="Times New Roman" w:hAnsiTheme="minorHAnsi" w:cstheme="minorHAnsi"/>
          <w:color w:val="auto"/>
          <w:sz w:val="18"/>
          <w:szCs w:val="18"/>
        </w:rPr>
        <w:t>[</w:t>
      </w:r>
      <w:r>
        <w:rPr>
          <w:rFonts w:asciiTheme="minorHAnsi" w:eastAsia="Times New Roman" w:hAnsiTheme="minorHAnsi" w:cstheme="minorHAnsi"/>
          <w:b/>
          <w:color w:val="auto"/>
          <w:sz w:val="18"/>
          <w:szCs w:val="18"/>
        </w:rPr>
        <w:t>nom de l’organisme dont est issue la compétence transférée</w:t>
      </w:r>
      <w:r>
        <w:rPr>
          <w:rFonts w:asciiTheme="minorHAnsi" w:eastAsia="Times New Roman" w:hAnsiTheme="minorHAnsi" w:cstheme="minorHAnsi"/>
          <w:color w:val="auto"/>
          <w:sz w:val="18"/>
          <w:szCs w:val="18"/>
        </w:rPr>
        <w:t xml:space="preserve">] sont comptabilités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 xml:space="preserve">ARTICLE </w:t>
      </w:r>
      <w:r w:rsidR="00D965BE">
        <w:rPr>
          <w:rFonts w:ascii="Calibri" w:eastAsia="Calibri" w:hAnsi="Calibri" w:cs="Calibri"/>
          <w:b/>
          <w:color w:val="auto"/>
          <w:sz w:val="18"/>
          <w:szCs w:val="18"/>
          <w:lang w:eastAsia="en-US"/>
        </w:rPr>
        <w:t>7</w:t>
      </w:r>
      <w:r w:rsidRPr="00467F80">
        <w:rPr>
          <w:rFonts w:ascii="Calibri" w:eastAsia="Calibri" w:hAnsi="Calibri" w:cs="Calibri"/>
          <w:b/>
          <w:color w:val="auto"/>
          <w:sz w:val="18"/>
          <w:szCs w:val="18"/>
          <w:lang w:eastAsia="en-US"/>
        </w:rPr>
        <w:t>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965BE">
        <w:rPr>
          <w:rFonts w:ascii="Calibri" w:eastAsia="Calibri" w:hAnsi="Calibri" w:cs="Calibri"/>
          <w:b/>
          <w:bCs/>
          <w:color w:val="auto"/>
          <w:sz w:val="18"/>
          <w:szCs w:val="18"/>
          <w:lang w:eastAsia="en-US"/>
        </w:rPr>
        <w:t>8</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w:t>
      </w:r>
      <w:proofErr w:type="spellStart"/>
      <w:r w:rsidRPr="00467F80">
        <w:rPr>
          <w:rFonts w:ascii="Calibri" w:eastAsia="Calibri" w:hAnsi="Calibri" w:cs="Calibri"/>
          <w:color w:val="auto"/>
          <w:sz w:val="18"/>
          <w:szCs w:val="18"/>
          <w:lang w:eastAsia="en-US"/>
        </w:rPr>
        <w:t>Télérecours</w:t>
      </w:r>
      <w:proofErr w:type="spellEnd"/>
      <w:r w:rsidRPr="00467F80">
        <w:rPr>
          <w:rFonts w:ascii="Calibri" w:eastAsia="Calibri" w:hAnsi="Calibri" w:cs="Calibri"/>
          <w:color w:val="auto"/>
          <w:sz w:val="18"/>
          <w:szCs w:val="18"/>
          <w:lang w:eastAsia="en-US"/>
        </w:rPr>
        <w:t xml:space="preserve">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headerReference w:type="even" r:id="rId7"/>
      <w:headerReference w:type="default" r:id="rId8"/>
      <w:footerReference w:type="even" r:id="rId9"/>
      <w:footerReference w:type="default" r:id="rId10"/>
      <w:headerReference w:type="first" r:id="rId11"/>
      <w:footerReference w:type="first" r:id="rId12"/>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6B" w:rsidRDefault="00DD1F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Pr="00866EEB" w:rsidRDefault="003645CB" w:rsidP="00866EEB">
    <w:pPr>
      <w:pStyle w:val="Pieddepage"/>
    </w:pPr>
    <w:r w:rsidRPr="00866EE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6B" w:rsidRDefault="00DD1F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6B" w:rsidRDefault="00DD1F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6B" w:rsidRDefault="00DD1F6B">
    <w:pPr>
      <w:pStyle w:val="En-tte"/>
    </w:pPr>
  </w:p>
  <w:p w:rsidR="00DD1F6B" w:rsidRDefault="00DD1F6B" w:rsidP="00DD1F6B">
    <w:pPr>
      <w:pStyle w:val="En-tte"/>
      <w:jc w:val="right"/>
      <w:rPr>
        <w:rFonts w:asciiTheme="minorHAnsi" w:hAnsiTheme="minorHAnsi" w:cstheme="minorHAnsi"/>
        <w:i/>
        <w:color w:val="808080" w:themeColor="background1" w:themeShade="80"/>
      </w:rPr>
    </w:pPr>
  </w:p>
  <w:p w:rsidR="00DD1F6B" w:rsidRPr="00EB79B8" w:rsidRDefault="00DD1F6B" w:rsidP="00DD1F6B">
    <w:pPr>
      <w:pStyle w:val="En-tte"/>
      <w:jc w:val="right"/>
      <w:rPr>
        <w:rFonts w:asciiTheme="minorHAnsi" w:hAnsiTheme="minorHAnsi" w:cstheme="minorHAnsi"/>
        <w:i/>
        <w:color w:val="808080" w:themeColor="background1" w:themeShade="80"/>
      </w:rPr>
    </w:pPr>
    <w:bookmarkStart w:id="0" w:name="_GoBack"/>
    <w:bookmarkEnd w:id="0"/>
    <w:r w:rsidRPr="00EB79B8">
      <w:rPr>
        <w:rFonts w:asciiTheme="minorHAnsi" w:hAnsiTheme="minorHAnsi" w:cstheme="minorHAnsi"/>
        <w:i/>
        <w:color w:val="808080" w:themeColor="background1" w:themeShade="80"/>
      </w:rPr>
      <w:t>Modèle mis à jour le 1</w:t>
    </w:r>
    <w:r w:rsidRPr="00EB79B8">
      <w:rPr>
        <w:rFonts w:asciiTheme="minorHAnsi" w:hAnsiTheme="minorHAnsi" w:cstheme="minorHAnsi"/>
        <w:i/>
        <w:color w:val="808080" w:themeColor="background1" w:themeShade="80"/>
        <w:vertAlign w:val="superscript"/>
      </w:rPr>
      <w:t>er</w:t>
    </w:r>
    <w:r w:rsidRPr="00EB79B8">
      <w:rPr>
        <w:rFonts w:asciiTheme="minorHAnsi" w:hAnsiTheme="minorHAnsi" w:cstheme="minorHAnsi"/>
        <w:i/>
        <w:color w:val="808080" w:themeColor="background1" w:themeShade="80"/>
      </w:rPr>
      <w:t xml:space="preserve"> septembre 2022</w:t>
    </w:r>
  </w:p>
  <w:p w:rsidR="00DD1F6B" w:rsidRDefault="00DD1F6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6B" w:rsidRDefault="00DD1F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23C2"/>
    <w:multiLevelType w:val="hybridMultilevel"/>
    <w:tmpl w:val="E5EC38C8"/>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2"/>
  </w:num>
  <w:num w:numId="6">
    <w:abstractNumId w:val="4"/>
  </w:num>
  <w:num w:numId="7">
    <w:abstractNumId w:val="1"/>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D3D4B"/>
    <w:rsid w:val="0011203D"/>
    <w:rsid w:val="00270DBA"/>
    <w:rsid w:val="002D32FB"/>
    <w:rsid w:val="003259C2"/>
    <w:rsid w:val="00362935"/>
    <w:rsid w:val="003645CB"/>
    <w:rsid w:val="0045702F"/>
    <w:rsid w:val="00467F80"/>
    <w:rsid w:val="004D2F41"/>
    <w:rsid w:val="005A776C"/>
    <w:rsid w:val="005D4F3D"/>
    <w:rsid w:val="006218BD"/>
    <w:rsid w:val="00746733"/>
    <w:rsid w:val="008411BF"/>
    <w:rsid w:val="00851F13"/>
    <w:rsid w:val="00866EEB"/>
    <w:rsid w:val="00885626"/>
    <w:rsid w:val="00A916CB"/>
    <w:rsid w:val="00B42215"/>
    <w:rsid w:val="00BE1A3D"/>
    <w:rsid w:val="00C1223F"/>
    <w:rsid w:val="00C660F7"/>
    <w:rsid w:val="00CC1872"/>
    <w:rsid w:val="00CD19A8"/>
    <w:rsid w:val="00D77D65"/>
    <w:rsid w:val="00D80371"/>
    <w:rsid w:val="00D965BE"/>
    <w:rsid w:val="00DA3FA3"/>
    <w:rsid w:val="00DB1471"/>
    <w:rsid w:val="00DD1F6B"/>
    <w:rsid w:val="00E0293D"/>
    <w:rsid w:val="00E81905"/>
    <w:rsid w:val="00F5369E"/>
    <w:rsid w:val="00F955F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16948"/>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866EEB"/>
    <w:pPr>
      <w:tabs>
        <w:tab w:val="center" w:pos="4536"/>
        <w:tab w:val="right" w:pos="9072"/>
      </w:tabs>
      <w:spacing w:after="0" w:line="240" w:lineRule="auto"/>
    </w:pPr>
  </w:style>
  <w:style w:type="character" w:customStyle="1" w:styleId="En-tteCar">
    <w:name w:val="En-tête Car"/>
    <w:basedOn w:val="Policepardfaut"/>
    <w:link w:val="En-tte"/>
    <w:uiPriority w:val="99"/>
    <w:rsid w:val="00866EEB"/>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1270</Words>
  <Characters>6986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6</cp:revision>
  <cp:lastPrinted>2020-06-25T09:13:00Z</cp:lastPrinted>
  <dcterms:created xsi:type="dcterms:W3CDTF">2022-09-27T09:27:00Z</dcterms:created>
  <dcterms:modified xsi:type="dcterms:W3CDTF">2022-09-27T10:14:00Z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