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1C44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instituant </w:t>
      </w:r>
      <w:r w:rsidR="002B00BA">
        <w:rPr>
          <w:rFonts w:ascii="Century Gothic" w:hAnsi="Century Gothic" w:cs="Arial"/>
          <w:b/>
          <w:bCs/>
          <w:smallCaps/>
          <w:sz w:val="24"/>
          <w:szCs w:val="20"/>
        </w:rPr>
        <w:t xml:space="preserve">une </w:t>
      </w:r>
      <w:r w:rsidR="00B86A44">
        <w:rPr>
          <w:rFonts w:ascii="Century Gothic" w:hAnsi="Century Gothic" w:cs="Arial"/>
          <w:b/>
          <w:bCs/>
          <w:smallCaps/>
          <w:sz w:val="24"/>
          <w:szCs w:val="20"/>
        </w:rPr>
        <w:t>indemnité spéciale de fonction et d’engagement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B86A44" w:rsidRPr="00B86A44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86A44">
        <w:rPr>
          <w:rFonts w:cstheme="minorHAnsi"/>
          <w:sz w:val="18"/>
          <w:szCs w:val="16"/>
        </w:rPr>
        <w:t>Les fonctionnaires relevant des cadres d'emplois des directeurs de police municipale, chefs de service de police municipale,</w:t>
      </w:r>
      <w:r>
        <w:rPr>
          <w:rFonts w:cstheme="minorHAnsi"/>
          <w:sz w:val="18"/>
          <w:szCs w:val="16"/>
        </w:rPr>
        <w:t xml:space="preserve"> </w:t>
      </w:r>
      <w:r w:rsidRPr="00B86A44">
        <w:rPr>
          <w:rFonts w:cstheme="minorHAnsi"/>
          <w:sz w:val="18"/>
          <w:szCs w:val="16"/>
        </w:rPr>
        <w:t>agents de police municipale et gardes champêtres peuvent bénéficier, suite à la refonte du régime indemnitaire de la filière de</w:t>
      </w:r>
      <w:r>
        <w:rPr>
          <w:rFonts w:cstheme="minorHAnsi"/>
          <w:sz w:val="18"/>
          <w:szCs w:val="16"/>
        </w:rPr>
        <w:t xml:space="preserve"> </w:t>
      </w:r>
      <w:r w:rsidRPr="00B86A44">
        <w:rPr>
          <w:rFonts w:cstheme="minorHAnsi"/>
          <w:sz w:val="18"/>
          <w:szCs w:val="16"/>
        </w:rPr>
        <w:t>police municipale issue du décret n°2024-614, une indemnité spéciale de fonction et d’engagement (ISFE).</w:t>
      </w:r>
    </w:p>
    <w:p w:rsidR="00B86A44" w:rsidRPr="00B86A44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86A44">
        <w:rPr>
          <w:rFonts w:cstheme="minorHAnsi"/>
          <w:sz w:val="18"/>
          <w:szCs w:val="16"/>
        </w:rPr>
        <w:t>Elle peut être versée aux fonctionnaires relevant de ladite filière et remplace le précédent régime indemnitaire composé de</w:t>
      </w:r>
      <w:r>
        <w:rPr>
          <w:rFonts w:cstheme="minorHAnsi"/>
          <w:sz w:val="18"/>
          <w:szCs w:val="16"/>
        </w:rPr>
        <w:t xml:space="preserve"> </w:t>
      </w:r>
      <w:r w:rsidRPr="00B86A44">
        <w:rPr>
          <w:rFonts w:cstheme="minorHAnsi"/>
          <w:sz w:val="18"/>
          <w:szCs w:val="16"/>
        </w:rPr>
        <w:t>l’indemnité spéciale mensuelle de fonction (ISMF) et de l’indemnité d’administration et de technicité (IAT).</w:t>
      </w:r>
    </w:p>
    <w:p w:rsidR="00B86A44" w:rsidRPr="00B86A44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86A44">
        <w:rPr>
          <w:rFonts w:cstheme="minorHAnsi"/>
          <w:sz w:val="18"/>
          <w:szCs w:val="16"/>
        </w:rPr>
        <w:t>Composée d’une part fixe et d’une part variable, l’ISFE s’adresse désormais à l’ensemble des fonctionnaires des cadres</w:t>
      </w:r>
      <w:r>
        <w:rPr>
          <w:rFonts w:cstheme="minorHAnsi"/>
          <w:sz w:val="18"/>
          <w:szCs w:val="16"/>
        </w:rPr>
        <w:t xml:space="preserve"> </w:t>
      </w:r>
      <w:r w:rsidRPr="00B86A44">
        <w:rPr>
          <w:rFonts w:cstheme="minorHAnsi"/>
          <w:sz w:val="18"/>
          <w:szCs w:val="16"/>
        </w:rPr>
        <w:t>d’emplois de la filière de police municipale.</w:t>
      </w:r>
    </w:p>
    <w:p w:rsidR="00B86A44" w:rsidRPr="00B86A44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86A44">
        <w:rPr>
          <w:rFonts w:cstheme="minorHAnsi"/>
          <w:sz w:val="18"/>
          <w:szCs w:val="16"/>
        </w:rPr>
        <w:t>Il appartient à l’organe délibérant de la collectivité de fixer le cadre général de l’instauration de ce nouveau régime indemnitaire,</w:t>
      </w:r>
      <w:r>
        <w:rPr>
          <w:rFonts w:cstheme="minorHAnsi"/>
          <w:sz w:val="18"/>
          <w:szCs w:val="16"/>
        </w:rPr>
        <w:t xml:space="preserve"> </w:t>
      </w:r>
      <w:r w:rsidRPr="00B86A44">
        <w:rPr>
          <w:rFonts w:cstheme="minorHAnsi"/>
          <w:sz w:val="18"/>
          <w:szCs w:val="16"/>
        </w:rPr>
        <w:t>dans les conditions et les limites prévues par la règlementation en vigueur.</w:t>
      </w:r>
    </w:p>
    <w:p w:rsidR="00B86A44" w:rsidRPr="00B86A44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86A44">
        <w:rPr>
          <w:rFonts w:cstheme="minorHAnsi"/>
          <w:sz w:val="18"/>
          <w:szCs w:val="16"/>
        </w:rPr>
        <w:t>La mise en place de ce dispositif indemnitaire nécessite ainsi :</w:t>
      </w:r>
    </w:p>
    <w:p w:rsidR="00B86A44" w:rsidRPr="00B86A44" w:rsidRDefault="00B86A44" w:rsidP="00B86A4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B86A44">
        <w:rPr>
          <w:rFonts w:cstheme="minorHAnsi"/>
          <w:sz w:val="18"/>
          <w:szCs w:val="16"/>
        </w:rPr>
        <w:t>d’en</w:t>
      </w:r>
      <w:proofErr w:type="gramEnd"/>
      <w:r w:rsidRPr="00B86A44">
        <w:rPr>
          <w:rFonts w:cstheme="minorHAnsi"/>
          <w:sz w:val="18"/>
          <w:szCs w:val="16"/>
        </w:rPr>
        <w:t xml:space="preserve"> définir les bénéficiaires,</w:t>
      </w:r>
    </w:p>
    <w:p w:rsidR="00B86A44" w:rsidRPr="00B86A44" w:rsidRDefault="00B86A44" w:rsidP="00B86A4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B86A44">
        <w:rPr>
          <w:rFonts w:cstheme="minorHAnsi"/>
          <w:sz w:val="18"/>
          <w:szCs w:val="16"/>
        </w:rPr>
        <w:t>de</w:t>
      </w:r>
      <w:proofErr w:type="gramEnd"/>
      <w:r w:rsidRPr="00B86A44">
        <w:rPr>
          <w:rFonts w:cstheme="minorHAnsi"/>
          <w:sz w:val="18"/>
          <w:szCs w:val="16"/>
        </w:rPr>
        <w:t xml:space="preserve"> déterminer, pour chaque part, le taux et le plafond,</w:t>
      </w:r>
    </w:p>
    <w:p w:rsidR="00B86A44" w:rsidRPr="00B86A44" w:rsidRDefault="00B86A44" w:rsidP="00B86A4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B86A44">
        <w:rPr>
          <w:rFonts w:cstheme="minorHAnsi"/>
          <w:sz w:val="18"/>
          <w:szCs w:val="16"/>
        </w:rPr>
        <w:t>d’en</w:t>
      </w:r>
      <w:proofErr w:type="gramEnd"/>
      <w:r w:rsidRPr="00B86A44">
        <w:rPr>
          <w:rFonts w:cstheme="minorHAnsi"/>
          <w:sz w:val="18"/>
          <w:szCs w:val="16"/>
        </w:rPr>
        <w:t xml:space="preserve"> préciser les conditions d’attribution et de versement (périodicité, maintien en cas d’absence etc.),</w:t>
      </w:r>
    </w:p>
    <w:p w:rsidR="000D2400" w:rsidRPr="00B86A44" w:rsidRDefault="00B86A44" w:rsidP="00B86A4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B86A44">
        <w:rPr>
          <w:rFonts w:cstheme="minorHAnsi"/>
          <w:sz w:val="18"/>
          <w:szCs w:val="16"/>
        </w:rPr>
        <w:t>de</w:t>
      </w:r>
      <w:proofErr w:type="gramEnd"/>
      <w:r w:rsidRPr="00B86A44">
        <w:rPr>
          <w:rFonts w:cstheme="minorHAnsi"/>
          <w:sz w:val="18"/>
          <w:szCs w:val="16"/>
        </w:rPr>
        <w:t xml:space="preserve"> préciser la date d’effet.</w:t>
      </w:r>
    </w:p>
    <w:p w:rsidR="00B86A44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</w:t>
      </w:r>
      <w:r w:rsidRPr="001C4432">
        <w:rPr>
          <w:rFonts w:cstheme="minorHAnsi"/>
          <w:sz w:val="18"/>
          <w:szCs w:val="16"/>
        </w:rPr>
        <w:t xml:space="preserve">’instituer </w:t>
      </w:r>
      <w:r w:rsidR="00B86A44">
        <w:rPr>
          <w:rFonts w:cstheme="minorHAnsi"/>
          <w:sz w:val="18"/>
          <w:szCs w:val="16"/>
        </w:rPr>
        <w:t>l’indemnité spéciale de fonction et d’engagement pour les agents relevant des cadres d’emploi de la filière police municipale</w:t>
      </w:r>
      <w:r w:rsidRPr="001C4432">
        <w:rPr>
          <w:rFonts w:cstheme="minorHAnsi"/>
          <w:sz w:val="18"/>
          <w:szCs w:val="16"/>
        </w:rPr>
        <w:t>.</w:t>
      </w:r>
    </w:p>
    <w:p w:rsidR="001C4432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B86A44" w:rsidRPr="00067E17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 xml:space="preserve">Vu le code général de la fonction publique, notamment </w:t>
      </w:r>
      <w:r>
        <w:rPr>
          <w:rFonts w:cstheme="minorHAnsi"/>
          <w:sz w:val="18"/>
          <w:szCs w:val="16"/>
        </w:rPr>
        <w:t>ses articles L. 4 et L. 714-13,</w:t>
      </w:r>
    </w:p>
    <w:p w:rsidR="00B86A44" w:rsidRPr="00067E17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94-731 du 24 août 1994 modifié portant statut particulier du cadre d</w:t>
      </w:r>
      <w:r>
        <w:rPr>
          <w:rFonts w:cstheme="minorHAnsi"/>
          <w:sz w:val="18"/>
          <w:szCs w:val="16"/>
        </w:rPr>
        <w:t xml:space="preserve">'emplois des gardes champêtres,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B86A44" w:rsidRPr="00067E17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 xml:space="preserve">Vu le décret n° 2001-623 du 12 juillet 2001 modifié pris pour l'application de l'article 7-1 de la loi n° 84-53 du 26 janvier 1984 et relatif à l'aménagement et à la réduction du temps de travail dans la </w:t>
      </w:r>
      <w:r>
        <w:rPr>
          <w:rFonts w:cstheme="minorHAnsi"/>
          <w:sz w:val="18"/>
          <w:szCs w:val="16"/>
        </w:rPr>
        <w:t>fonction publique territoriale,</w:t>
      </w:r>
    </w:p>
    <w:p w:rsidR="00B86A44" w:rsidRPr="00067E17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2002-60 du 14 janvier 2002 modifié relatif aux indemnités horaire</w:t>
      </w:r>
      <w:r>
        <w:rPr>
          <w:rFonts w:cstheme="minorHAnsi"/>
          <w:sz w:val="18"/>
          <w:szCs w:val="16"/>
        </w:rPr>
        <w:t>s pour travaux supplémentaires,</w:t>
      </w:r>
    </w:p>
    <w:p w:rsidR="00B86A44" w:rsidRPr="00067E17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2006-1391 du 17 novembre 2006 modifié portant statut particulier du cadre d'emplois d</w:t>
      </w:r>
      <w:r>
        <w:rPr>
          <w:rFonts w:cstheme="minorHAnsi"/>
          <w:sz w:val="18"/>
          <w:szCs w:val="16"/>
        </w:rPr>
        <w:t xml:space="preserve">es agents de police municipale,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B86A44" w:rsidRPr="00067E17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2006-1392 du 17 novembre 2006 modifié portant statut particulier du cadre d'emplois des d</w:t>
      </w:r>
      <w:r>
        <w:rPr>
          <w:rFonts w:cstheme="minorHAnsi"/>
          <w:sz w:val="18"/>
          <w:szCs w:val="16"/>
        </w:rPr>
        <w:t xml:space="preserve">irecteurs de police municipale,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B86A44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2011-444 du 21 avril 2011 modifié portant statut particulier du cadre d'emplois des chefs d</w:t>
      </w:r>
      <w:r>
        <w:rPr>
          <w:rFonts w:cstheme="minorHAnsi"/>
          <w:sz w:val="18"/>
          <w:szCs w:val="16"/>
        </w:rPr>
        <w:t xml:space="preserve">e service de police municipale,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B86A44" w:rsidRDefault="00B86A44" w:rsidP="00B86A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n°2024-614 du 26 juin 2024 relatif au régime indemnitaire des fonctionnaires rele</w:t>
      </w:r>
      <w:r>
        <w:rPr>
          <w:rFonts w:cstheme="minorHAnsi"/>
          <w:sz w:val="18"/>
          <w:szCs w:val="16"/>
        </w:rPr>
        <w:t xml:space="preserve">vant des cadres d'emplois de la </w:t>
      </w:r>
      <w:r w:rsidRPr="00067E17">
        <w:rPr>
          <w:rFonts w:cstheme="minorHAnsi"/>
          <w:sz w:val="18"/>
          <w:szCs w:val="16"/>
        </w:rPr>
        <w:t>police municipale et des fonctionnaires relevant du cadre d'emplois des gardes champêtres,</w:t>
      </w:r>
    </w:p>
    <w:p w:rsid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Vu l’avis du comité social territorial réuni en date</w:t>
      </w:r>
      <w:r>
        <w:rPr>
          <w:rFonts w:ascii="Calibri" w:hAnsi="Calibri" w:cs="Calibri"/>
          <w:sz w:val="18"/>
        </w:rPr>
        <w:t xml:space="preserve">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 xml:space="preserve">], </w:t>
      </w:r>
    </w:p>
    <w:p w:rsidR="00B86A44" w:rsidRDefault="00B86A44" w:rsidP="000D240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</w:p>
    <w:p w:rsidR="00B86A44" w:rsidRDefault="00B86A44" w:rsidP="000D240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</w:p>
    <w:p w:rsidR="00B86A44" w:rsidRDefault="00B86A44" w:rsidP="000D240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584" w:type="dxa"/>
          </w:tcPr>
          <w:p w:rsidR="00B86A44" w:rsidRPr="00B86A44" w:rsidRDefault="00B86A44" w:rsidP="00572A2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b/>
                <w:szCs w:val="16"/>
              </w:rPr>
            </w:pPr>
            <w:r w:rsidRPr="00B86A44">
              <w:rPr>
                <w:rFonts w:cstheme="minorHAnsi"/>
                <w:b/>
                <w:szCs w:val="16"/>
              </w:rPr>
              <w:t xml:space="preserve">Les </w:t>
            </w:r>
            <w:r>
              <w:rPr>
                <w:rFonts w:cstheme="minorHAnsi"/>
                <w:b/>
                <w:szCs w:val="16"/>
              </w:rPr>
              <w:t>bénéficiaires :</w:t>
            </w:r>
          </w:p>
          <w:p w:rsidR="00B86A44" w:rsidRPr="00B86A44" w:rsidRDefault="00B86A44" w:rsidP="00B86A4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 w:rsidRPr="00B86A44">
              <w:rPr>
                <w:rFonts w:cstheme="minorHAnsi"/>
                <w:sz w:val="18"/>
                <w:szCs w:val="16"/>
              </w:rPr>
              <w:t>Une indemnité spéciale de fonction et d’engagement (ISFE) est versée aux fonctionnaires titulaires et stagiaires relevant de la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 w:rsidRPr="00B86A44">
              <w:rPr>
                <w:rFonts w:cstheme="minorHAnsi"/>
                <w:sz w:val="18"/>
                <w:szCs w:val="16"/>
              </w:rPr>
              <w:t>filière de police municipale selon les modalités précisées aux articles 2 et suivants de la présente délibération.</w:t>
            </w:r>
          </w:p>
          <w:p w:rsidR="00B86A44" w:rsidRPr="00B86A44" w:rsidRDefault="00B86A44" w:rsidP="00B86A4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 w:rsidRPr="00B86A44">
              <w:rPr>
                <w:rFonts w:cstheme="minorHAnsi"/>
                <w:sz w:val="18"/>
                <w:szCs w:val="16"/>
              </w:rPr>
              <w:t>Elle s’adresse aux fonctionnaires des cadres d’emplois suivants :</w:t>
            </w:r>
          </w:p>
          <w:p w:rsidR="00B86A44" w:rsidRPr="00B86A44" w:rsidRDefault="00B86A44" w:rsidP="00B86A4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 w:rsidRPr="00B86A44">
              <w:rPr>
                <w:rFonts w:cstheme="minorHAnsi"/>
                <w:sz w:val="18"/>
                <w:szCs w:val="16"/>
              </w:rPr>
              <w:t>Cadre d'emplois des directeurs de police municipale,</w:t>
            </w:r>
          </w:p>
          <w:p w:rsidR="00B86A44" w:rsidRPr="00B86A44" w:rsidRDefault="00B86A44" w:rsidP="00B86A4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 w:rsidRPr="00B86A44">
              <w:rPr>
                <w:rFonts w:cstheme="minorHAnsi"/>
                <w:sz w:val="18"/>
                <w:szCs w:val="16"/>
              </w:rPr>
              <w:t>Cadre d'emplois des chefs de service de police municipale,</w:t>
            </w:r>
          </w:p>
          <w:p w:rsidR="00B86A44" w:rsidRPr="00B86A44" w:rsidRDefault="00B86A44" w:rsidP="00B86A4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 w:rsidRPr="00B86A44">
              <w:rPr>
                <w:rFonts w:cstheme="minorHAnsi"/>
                <w:sz w:val="18"/>
                <w:szCs w:val="16"/>
              </w:rPr>
              <w:t>Cadre d'emplois des agents de police municipale,</w:t>
            </w:r>
          </w:p>
          <w:p w:rsidR="00B86A44" w:rsidRPr="00B86A44" w:rsidRDefault="00B86A44" w:rsidP="00B86A4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 w:rsidRPr="00B86A44">
              <w:rPr>
                <w:rFonts w:cstheme="minorHAnsi"/>
                <w:sz w:val="18"/>
                <w:szCs w:val="16"/>
              </w:rPr>
              <w:t>Cadre d'emplois des gardes champêtres,</w:t>
            </w:r>
          </w:p>
          <w:p w:rsidR="00DE72F7" w:rsidRPr="00B86A44" w:rsidRDefault="00B86A44" w:rsidP="00B86A44">
            <w:pPr>
              <w:spacing w:after="60"/>
              <w:ind w:right="71"/>
              <w:jc w:val="both"/>
              <w:rPr>
                <w:rFonts w:cstheme="minorHAnsi"/>
                <w:i/>
                <w:sz w:val="18"/>
                <w:szCs w:val="16"/>
              </w:rPr>
            </w:pPr>
            <w:r w:rsidRPr="00B86A44">
              <w:rPr>
                <w:rFonts w:cstheme="minorHAnsi"/>
                <w:i/>
                <w:sz w:val="18"/>
                <w:szCs w:val="16"/>
              </w:rPr>
              <w:t>(N’indiquer que les cadres d’emploi concernés par votre collectivité)</w:t>
            </w:r>
          </w:p>
          <w:p w:rsidR="00B86A44" w:rsidRPr="00720471" w:rsidRDefault="00B86A44" w:rsidP="00B86A44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B86A44" w:rsidRDefault="00B86A44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cstheme="minorHAnsi"/>
                <w:b/>
                <w:szCs w:val="16"/>
              </w:rPr>
              <w:t>Les modalités et conditions d’attribution</w:t>
            </w:r>
            <w:r w:rsidR="00E71B42">
              <w:rPr>
                <w:rFonts w:cstheme="minorHAnsi"/>
                <w:b/>
                <w:szCs w:val="16"/>
              </w:rPr>
              <w:t> :</w:t>
            </w:r>
          </w:p>
          <w:p w:rsidR="00B86A44" w:rsidRPr="00B86A44" w:rsidRDefault="00B86A44" w:rsidP="00B86A4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B86A44">
              <w:rPr>
                <w:rFonts w:ascii="Calibri" w:hAnsi="Calibri" w:cs="Calibri"/>
                <w:sz w:val="18"/>
              </w:rPr>
              <w:t>L’ISFE est constituée d’une part fixe et d’une part variable, déterminée</w:t>
            </w:r>
            <w:r>
              <w:rPr>
                <w:rFonts w:ascii="Calibri" w:hAnsi="Calibri" w:cs="Calibri"/>
                <w:sz w:val="18"/>
              </w:rPr>
              <w:t>s dans les conditions suivantes :</w:t>
            </w:r>
          </w:p>
          <w:p w:rsidR="00B86A44" w:rsidRPr="00B86A44" w:rsidRDefault="00B86A44" w:rsidP="00B86A44">
            <w:pPr>
              <w:pStyle w:val="Paragraphedeliste"/>
              <w:numPr>
                <w:ilvl w:val="0"/>
                <w:numId w:val="7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B86A44">
              <w:rPr>
                <w:rFonts w:ascii="Calibri" w:hAnsi="Calibri" w:cs="Calibri"/>
                <w:sz w:val="18"/>
              </w:rPr>
              <w:t>La part fixe de l’ISFE est calculée en appliquant au montant du traitement soumis à retenue pour pension un taux</w:t>
            </w:r>
            <w:r w:rsidRPr="00B86A44">
              <w:rPr>
                <w:rFonts w:ascii="Calibri" w:hAnsi="Calibri" w:cs="Calibri"/>
                <w:sz w:val="18"/>
              </w:rPr>
              <w:t xml:space="preserve"> </w:t>
            </w:r>
            <w:r w:rsidRPr="00B86A44">
              <w:rPr>
                <w:rFonts w:ascii="Calibri" w:hAnsi="Calibri" w:cs="Calibri"/>
                <w:sz w:val="18"/>
              </w:rPr>
              <w:t>individuel,</w:t>
            </w:r>
          </w:p>
          <w:p w:rsidR="00B86A44" w:rsidRPr="00B86A44" w:rsidRDefault="00B86A44" w:rsidP="00B86A44">
            <w:pPr>
              <w:pStyle w:val="Paragraphedeliste"/>
              <w:numPr>
                <w:ilvl w:val="0"/>
                <w:numId w:val="7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B86A44">
              <w:rPr>
                <w:rFonts w:ascii="Calibri" w:hAnsi="Calibri" w:cs="Calibri"/>
                <w:sz w:val="18"/>
              </w:rPr>
              <w:t>La part variable de l’ISFE est fixée dans la limite de montants réglementaires.</w:t>
            </w:r>
          </w:p>
          <w:p w:rsidR="00B86A44" w:rsidRDefault="00B86A44" w:rsidP="00B86A4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B86A44">
              <w:rPr>
                <w:rFonts w:ascii="Calibri" w:hAnsi="Calibri" w:cs="Calibri"/>
                <w:sz w:val="18"/>
              </w:rPr>
              <w:t xml:space="preserve">Il est ainsi fixé les taux et montants comme suit </w:t>
            </w:r>
            <w:r w:rsidRPr="00B86A44">
              <w:rPr>
                <w:rFonts w:ascii="Calibri" w:hAnsi="Calibri" w:cs="Calibri"/>
                <w:i/>
                <w:sz w:val="18"/>
              </w:rPr>
              <w:t>(à déterminer par l’organe délibérant)</w:t>
            </w:r>
            <w:r w:rsidRPr="00B86A44">
              <w:rPr>
                <w:rFonts w:ascii="Calibri" w:hAnsi="Calibri" w:cs="Calibri"/>
                <w:sz w:val="18"/>
              </w:rPr>
              <w:t xml:space="preserve"> :</w:t>
            </w:r>
          </w:p>
          <w:p w:rsidR="00B86A44" w:rsidRPr="00B86A44" w:rsidRDefault="00B86A44" w:rsidP="00B86A4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2268"/>
              <w:gridCol w:w="2478"/>
            </w:tblGrid>
            <w:tr w:rsidR="00B86A44" w:rsidTr="00B86A44">
              <w:tc>
                <w:tcPr>
                  <w:tcW w:w="2688" w:type="dxa"/>
                  <w:vAlign w:val="center"/>
                </w:tcPr>
                <w:p w:rsidR="00B86A44" w:rsidRP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CADRES D’EMPLOIS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PART FIXE</w:t>
                  </w:r>
                </w:p>
                <w:p w:rsidR="00B86A44" w:rsidRP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i/>
                      <w:sz w:val="18"/>
                    </w:rPr>
                  </w:pPr>
                  <w:r w:rsidRPr="00B86A44">
                    <w:rPr>
                      <w:rFonts w:ascii="Calibri" w:hAnsi="Calibri" w:cs="Calibri"/>
                      <w:i/>
                      <w:sz w:val="14"/>
                    </w:rPr>
                    <w:t>(dans la limite des taux suivants)</w:t>
                  </w:r>
                </w:p>
              </w:tc>
              <w:tc>
                <w:tcPr>
                  <w:tcW w:w="247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 xml:space="preserve">PART 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t>VARIABLE</w:t>
                  </w:r>
                </w:p>
                <w:p w:rsidR="00B86A44" w:rsidRP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 w:rsidRPr="00B86A44">
                    <w:rPr>
                      <w:rFonts w:ascii="Calibri" w:hAnsi="Calibri" w:cs="Calibri"/>
                      <w:i/>
                      <w:sz w:val="14"/>
                    </w:rPr>
                    <w:t xml:space="preserve">(dans la limite des </w:t>
                  </w:r>
                  <w:r w:rsidRPr="00B86A44">
                    <w:rPr>
                      <w:rFonts w:ascii="Calibri" w:hAnsi="Calibri" w:cs="Calibri"/>
                      <w:i/>
                      <w:sz w:val="14"/>
                    </w:rPr>
                    <w:t>montants</w:t>
                  </w:r>
                  <w:r w:rsidRPr="00B86A44">
                    <w:rPr>
                      <w:rFonts w:ascii="Calibri" w:hAnsi="Calibri" w:cs="Calibri"/>
                      <w:i/>
                      <w:sz w:val="14"/>
                    </w:rPr>
                    <w:t xml:space="preserve"> suivants)</w:t>
                  </w:r>
                </w:p>
              </w:tc>
            </w:tr>
            <w:tr w:rsidR="00B86A44" w:rsidTr="00B86A44">
              <w:tc>
                <w:tcPr>
                  <w:tcW w:w="2688" w:type="dxa"/>
                  <w:vAlign w:val="center"/>
                </w:tcPr>
                <w:p w:rsidR="00B86A44" w:rsidRPr="00B86A44" w:rsidRDefault="00B86A44" w:rsidP="00B86A44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 w:rsidRPr="00B86A44">
                    <w:rPr>
                      <w:rFonts w:ascii="Calibri" w:hAnsi="Calibri" w:cs="Calibri"/>
                      <w:sz w:val="16"/>
                    </w:rPr>
                    <w:t>Directeur de police municipale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33 %</w:t>
                  </w:r>
                </w:p>
              </w:tc>
              <w:tc>
                <w:tcPr>
                  <w:tcW w:w="247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9 500 €</w:t>
                  </w:r>
                </w:p>
              </w:tc>
            </w:tr>
            <w:tr w:rsidR="00B86A44" w:rsidTr="00B86A44">
              <w:tc>
                <w:tcPr>
                  <w:tcW w:w="2688" w:type="dxa"/>
                  <w:vAlign w:val="center"/>
                </w:tcPr>
                <w:p w:rsidR="00B86A44" w:rsidRPr="00B86A44" w:rsidRDefault="00B86A44" w:rsidP="00B86A44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 w:rsidRPr="00B86A44">
                    <w:rPr>
                      <w:rFonts w:ascii="Calibri" w:hAnsi="Calibri" w:cs="Calibri"/>
                      <w:sz w:val="16"/>
                    </w:rPr>
                    <w:t>Chef de service de police municipale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32 %</w:t>
                  </w:r>
                </w:p>
              </w:tc>
              <w:tc>
                <w:tcPr>
                  <w:tcW w:w="247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7 000 €</w:t>
                  </w:r>
                </w:p>
              </w:tc>
            </w:tr>
            <w:tr w:rsidR="00B86A44" w:rsidTr="00B86A44">
              <w:tc>
                <w:tcPr>
                  <w:tcW w:w="2688" w:type="dxa"/>
                  <w:vAlign w:val="center"/>
                </w:tcPr>
                <w:p w:rsidR="00B86A44" w:rsidRPr="00B86A44" w:rsidRDefault="00B86A44" w:rsidP="00B86A44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 w:rsidRPr="00B86A44">
                    <w:rPr>
                      <w:rFonts w:ascii="Calibri" w:hAnsi="Calibri" w:cs="Calibri"/>
                      <w:sz w:val="16"/>
                    </w:rPr>
                    <w:t>Agents de police municipale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30 %</w:t>
                  </w:r>
                </w:p>
              </w:tc>
              <w:tc>
                <w:tcPr>
                  <w:tcW w:w="247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5 000 €</w:t>
                  </w:r>
                </w:p>
              </w:tc>
            </w:tr>
            <w:tr w:rsidR="00B86A44" w:rsidTr="00B86A44">
              <w:tc>
                <w:tcPr>
                  <w:tcW w:w="2688" w:type="dxa"/>
                  <w:vAlign w:val="center"/>
                </w:tcPr>
                <w:p w:rsidR="00B86A44" w:rsidRPr="00B86A44" w:rsidRDefault="00B86A44" w:rsidP="00B86A44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 w:rsidRPr="00B86A44">
                    <w:rPr>
                      <w:rFonts w:ascii="Calibri" w:hAnsi="Calibri" w:cs="Calibri"/>
                      <w:sz w:val="16"/>
                    </w:rPr>
                    <w:t>Gardes champêtres</w:t>
                  </w:r>
                </w:p>
              </w:tc>
              <w:tc>
                <w:tcPr>
                  <w:tcW w:w="226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30%</w:t>
                  </w:r>
                </w:p>
              </w:tc>
              <w:tc>
                <w:tcPr>
                  <w:tcW w:w="2478" w:type="dxa"/>
                  <w:vAlign w:val="center"/>
                </w:tcPr>
                <w:p w:rsidR="00B86A44" w:rsidRDefault="00B86A44" w:rsidP="00B86A44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5 000 €</w:t>
                  </w:r>
                </w:p>
              </w:tc>
            </w:tr>
          </w:tbl>
          <w:p w:rsidR="00B86A44" w:rsidRDefault="00B86A44" w:rsidP="00B86A4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p w:rsidR="00B86A44" w:rsidRPr="00B86A44" w:rsidRDefault="00B86A44" w:rsidP="00B86A44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B86A44">
              <w:rPr>
                <w:rFonts w:ascii="Calibri" w:hAnsi="Calibri" w:cs="Calibri"/>
                <w:sz w:val="18"/>
              </w:rPr>
              <w:t>La part variable de l’ISFE tient compte de l'engagement professionnel et de la manière de servir appréciés selon des critères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B86A44">
              <w:rPr>
                <w:rFonts w:ascii="Calibri" w:hAnsi="Calibri" w:cs="Calibri"/>
                <w:sz w:val="18"/>
              </w:rPr>
              <w:t>suivants :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B86A44">
              <w:rPr>
                <w:rFonts w:ascii="Calibri" w:hAnsi="Calibri" w:cs="Calibri"/>
                <w:i/>
                <w:sz w:val="18"/>
              </w:rPr>
              <w:t>(à déterminer par l’organe délibérant)</w:t>
            </w:r>
          </w:p>
          <w:p w:rsidR="00B86A44" w:rsidRPr="00B86A44" w:rsidRDefault="00B86A44" w:rsidP="00B86A4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B86A44">
              <w:rPr>
                <w:rFonts w:ascii="Calibri" w:hAnsi="Calibri" w:cs="Calibri"/>
                <w:sz w:val="18"/>
              </w:rPr>
              <w:t>L’ISFE est cumulable avec :</w:t>
            </w:r>
          </w:p>
          <w:p w:rsidR="00B86A44" w:rsidRPr="00B86A44" w:rsidRDefault="00B86A44" w:rsidP="00B86A44">
            <w:pPr>
              <w:pStyle w:val="Paragraphedeliste"/>
              <w:numPr>
                <w:ilvl w:val="0"/>
                <w:numId w:val="7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B86A44">
              <w:rPr>
                <w:rFonts w:ascii="Calibri" w:hAnsi="Calibri" w:cs="Calibri"/>
                <w:sz w:val="18"/>
              </w:rPr>
              <w:t>Les indemnités horaires pour travaux supplémentaires attribuées dans les conditions fixées par le décret du 14 janvier</w:t>
            </w:r>
            <w:r w:rsidRPr="00B86A44">
              <w:rPr>
                <w:rFonts w:ascii="Calibri" w:hAnsi="Calibri" w:cs="Calibri"/>
                <w:sz w:val="18"/>
              </w:rPr>
              <w:t xml:space="preserve"> </w:t>
            </w:r>
            <w:r w:rsidRPr="00B86A44">
              <w:rPr>
                <w:rFonts w:ascii="Calibri" w:hAnsi="Calibri" w:cs="Calibri"/>
                <w:sz w:val="18"/>
              </w:rPr>
              <w:t>2002 susvisé,</w:t>
            </w:r>
          </w:p>
          <w:p w:rsidR="00B86A44" w:rsidRPr="00B86A44" w:rsidRDefault="00B86A44" w:rsidP="00B86A44">
            <w:pPr>
              <w:pStyle w:val="Paragraphedeliste"/>
              <w:numPr>
                <w:ilvl w:val="0"/>
                <w:numId w:val="7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B86A44">
              <w:rPr>
                <w:rFonts w:ascii="Calibri" w:hAnsi="Calibri" w:cs="Calibri"/>
                <w:sz w:val="18"/>
              </w:rPr>
              <w:t>Les primes et indemnités compensant le travail de nuit, le dimanche ou les jours fériés ainsi que les astreintes et le</w:t>
            </w:r>
            <w:r w:rsidRPr="00B86A44">
              <w:rPr>
                <w:rFonts w:ascii="Calibri" w:hAnsi="Calibri" w:cs="Calibri"/>
                <w:sz w:val="18"/>
              </w:rPr>
              <w:t xml:space="preserve"> </w:t>
            </w:r>
            <w:r w:rsidRPr="00B86A44">
              <w:rPr>
                <w:rFonts w:ascii="Calibri" w:hAnsi="Calibri" w:cs="Calibri"/>
                <w:sz w:val="18"/>
              </w:rPr>
              <w:t>dépassement régulier du cycle de travail tel que défini par le décret du 12 juillet 2001 susvisé.</w:t>
            </w:r>
          </w:p>
          <w:p w:rsidR="00677F9E" w:rsidRDefault="00B86A44" w:rsidP="00B86A4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B86A44">
              <w:rPr>
                <w:rFonts w:ascii="Calibri" w:hAnsi="Calibri" w:cs="Calibri"/>
                <w:sz w:val="18"/>
              </w:rPr>
              <w:t>L’ISFE est exclusive de toutes autres primes et indemnités liées aux fonctions et à la manière de servir (exemples : RIFSEEP,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B86A44">
              <w:rPr>
                <w:rFonts w:ascii="Calibri" w:hAnsi="Calibri" w:cs="Calibri"/>
                <w:sz w:val="18"/>
              </w:rPr>
              <w:t>IAT…).</w:t>
            </w:r>
            <w:r w:rsidRPr="00B86A44">
              <w:rPr>
                <w:rFonts w:ascii="Calibri" w:hAnsi="Calibri" w:cs="Calibri"/>
                <w:sz w:val="18"/>
              </w:rPr>
              <w:t xml:space="preserve"> </w:t>
            </w:r>
          </w:p>
          <w:p w:rsidR="00B86A44" w:rsidRPr="003520C3" w:rsidRDefault="00B86A44" w:rsidP="00B86A4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C23A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C23A3B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71B42" w:rsidRDefault="00E71B42" w:rsidP="00572A2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cstheme="minorHAnsi"/>
                <w:b/>
                <w:szCs w:val="16"/>
              </w:rPr>
              <w:t>Les conditions de versement :</w:t>
            </w:r>
          </w:p>
          <w:p w:rsidR="00E71B42" w:rsidRPr="00E71B4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E71B42">
              <w:rPr>
                <w:rFonts w:ascii="Calibri" w:hAnsi="Calibri" w:cs="Calibri"/>
                <w:sz w:val="18"/>
              </w:rPr>
              <w:t>La part fixe de l'indemnité spéciale de fonction et d'engagement est versée mensuellement.</w:t>
            </w:r>
          </w:p>
          <w:p w:rsidR="00E71B42" w:rsidRPr="00E71B4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E71B42">
              <w:rPr>
                <w:rFonts w:ascii="Calibri" w:hAnsi="Calibri" w:cs="Calibri"/>
                <w:sz w:val="18"/>
              </w:rPr>
              <w:t>La part variable de l'indemnité spéciale de fonction et d'engagement peut être versée mensuellement (dans la limite de 50 % du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E71B42">
              <w:rPr>
                <w:rFonts w:ascii="Calibri" w:hAnsi="Calibri" w:cs="Calibri"/>
                <w:sz w:val="18"/>
              </w:rPr>
              <w:t>plafond défini par l'organe délibérant). Elle peut être complétée d’un versement annuel, sans que la somme des versements ne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E71B42">
              <w:rPr>
                <w:rFonts w:ascii="Calibri" w:hAnsi="Calibri" w:cs="Calibri"/>
                <w:sz w:val="18"/>
              </w:rPr>
              <w:t>dépasse ce même plafond.</w:t>
            </w:r>
          </w:p>
          <w:p w:rsidR="00572A2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E71B42">
              <w:rPr>
                <w:rFonts w:ascii="Calibri" w:hAnsi="Calibri" w:cs="Calibri"/>
                <w:sz w:val="18"/>
              </w:rPr>
              <w:t>Lors de la première application de l’ISFE, si, après application des deux parts, le montant indemnitaire mensuel perçu par le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E71B42">
              <w:rPr>
                <w:rFonts w:ascii="Calibri" w:hAnsi="Calibri" w:cs="Calibri"/>
                <w:sz w:val="18"/>
              </w:rPr>
              <w:t>fonctionnaire est inférieur à celui perçu au titre du régime indemnitaire antérieur, à l'exclusion de tout versement à caractère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E71B42">
              <w:rPr>
                <w:rFonts w:ascii="Calibri" w:hAnsi="Calibri" w:cs="Calibri"/>
                <w:sz w:val="18"/>
              </w:rPr>
              <w:t>exceptionnel, ce montant précédemment perçu peut être conservé, à titre individuel et au titre de la part variable, au-delà du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E71B42">
              <w:rPr>
                <w:rFonts w:ascii="Calibri" w:hAnsi="Calibri" w:cs="Calibri"/>
                <w:sz w:val="18"/>
              </w:rPr>
              <w:t>pourcentage.</w:t>
            </w:r>
            <w:r w:rsidRPr="00E71B42">
              <w:rPr>
                <w:rFonts w:ascii="Calibri" w:hAnsi="Calibri" w:cs="Calibri"/>
                <w:sz w:val="18"/>
              </w:rPr>
              <w:t xml:space="preserve"> </w:t>
            </w:r>
          </w:p>
          <w:p w:rsidR="00E71B4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p w:rsidR="00E71B42" w:rsidRPr="007968B1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71B42" w:rsidRPr="00E81381" w:rsidTr="007B6805">
        <w:tc>
          <w:tcPr>
            <w:tcW w:w="1488" w:type="dxa"/>
          </w:tcPr>
          <w:p w:rsidR="00E71B42" w:rsidRPr="009F4153" w:rsidRDefault="00E71B42" w:rsidP="007B680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71B42" w:rsidRDefault="00E71B42" w:rsidP="007B680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cstheme="minorHAnsi"/>
                <w:b/>
                <w:szCs w:val="16"/>
              </w:rPr>
              <w:t>Les modalités de maintien ou de suppression de l’I</w:t>
            </w:r>
            <w:r>
              <w:rPr>
                <w:rFonts w:cstheme="minorHAnsi"/>
                <w:b/>
                <w:szCs w:val="16"/>
              </w:rPr>
              <w:t>.</w:t>
            </w:r>
            <w:r>
              <w:rPr>
                <w:rFonts w:cstheme="minorHAnsi"/>
                <w:b/>
                <w:szCs w:val="16"/>
              </w:rPr>
              <w:t>S</w:t>
            </w:r>
            <w:r>
              <w:rPr>
                <w:rFonts w:cstheme="minorHAnsi"/>
                <w:b/>
                <w:szCs w:val="16"/>
              </w:rPr>
              <w:t>.</w:t>
            </w:r>
            <w:r>
              <w:rPr>
                <w:rFonts w:cstheme="minorHAnsi"/>
                <w:b/>
                <w:szCs w:val="16"/>
              </w:rPr>
              <w:t>F</w:t>
            </w:r>
            <w:r>
              <w:rPr>
                <w:rFonts w:cstheme="minorHAnsi"/>
                <w:b/>
                <w:szCs w:val="16"/>
              </w:rPr>
              <w:t>.</w:t>
            </w:r>
            <w:r>
              <w:rPr>
                <w:rFonts w:cstheme="minorHAnsi"/>
                <w:b/>
                <w:szCs w:val="16"/>
              </w:rPr>
              <w:t>E</w:t>
            </w:r>
            <w:r>
              <w:rPr>
                <w:rFonts w:cstheme="minorHAnsi"/>
                <w:b/>
                <w:szCs w:val="16"/>
              </w:rPr>
              <w:t>.</w:t>
            </w:r>
            <w:r>
              <w:rPr>
                <w:rFonts w:cstheme="minorHAnsi"/>
                <w:b/>
                <w:szCs w:val="16"/>
              </w:rPr>
              <w:t> :</w:t>
            </w:r>
          </w:p>
          <w:p w:rsidR="00E71B42" w:rsidRPr="00E71B4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E71B42">
              <w:rPr>
                <w:rFonts w:ascii="Calibri" w:hAnsi="Calibri" w:cs="Calibri"/>
                <w:sz w:val="18"/>
              </w:rPr>
              <w:t>Conformément au décret n° 2010-997 du 26 août 2010 relatif au régime de maintien des primes et indemnités des agents publics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E71B42">
              <w:rPr>
                <w:rFonts w:ascii="Calibri" w:hAnsi="Calibri" w:cs="Calibri"/>
                <w:sz w:val="18"/>
              </w:rPr>
              <w:t>de l’État et des magistrats de l’ordre judiciaire dans certaines situations de congés : En cas de congé de maladie ordinaire, pour accident de service et de maladie professionnelle : l’I.S.F.E. suivra le sort du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E71B42">
              <w:rPr>
                <w:rFonts w:ascii="Calibri" w:hAnsi="Calibri" w:cs="Calibri"/>
                <w:sz w:val="18"/>
              </w:rPr>
              <w:t>traitement.</w:t>
            </w:r>
          </w:p>
          <w:p w:rsidR="00E71B42" w:rsidRPr="00E71B4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E71B42">
              <w:rPr>
                <w:rFonts w:ascii="Calibri" w:hAnsi="Calibri" w:cs="Calibri"/>
                <w:sz w:val="18"/>
              </w:rPr>
              <w:t>Pendant les congés annuels et les congés pour maternité, de paternité et d’accueil de l’enfant ou pour adoption, cette indemnité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E71B42">
              <w:rPr>
                <w:rFonts w:ascii="Calibri" w:hAnsi="Calibri" w:cs="Calibri"/>
                <w:sz w:val="18"/>
              </w:rPr>
              <w:t>sera maintenue intégralement.</w:t>
            </w:r>
          </w:p>
          <w:p w:rsidR="00E71B4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E71B42">
              <w:rPr>
                <w:rFonts w:ascii="Calibri" w:hAnsi="Calibri" w:cs="Calibri"/>
                <w:sz w:val="18"/>
              </w:rPr>
              <w:t>En cas de congé de longue maladie, longue durée et grave maladie : le verseme</w:t>
            </w:r>
            <w:r>
              <w:rPr>
                <w:rFonts w:ascii="Calibri" w:hAnsi="Calibri" w:cs="Calibri"/>
                <w:sz w:val="18"/>
              </w:rPr>
              <w:t>nt de l’I.S.F.E. est suspendu.</w:t>
            </w:r>
          </w:p>
          <w:p w:rsidR="00E71B4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71B42" w:rsidRPr="00E81381" w:rsidTr="007B6805">
        <w:tc>
          <w:tcPr>
            <w:tcW w:w="1488" w:type="dxa"/>
          </w:tcPr>
          <w:p w:rsidR="00E71B42" w:rsidRPr="009F4153" w:rsidRDefault="00E71B42" w:rsidP="00E71B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71B42" w:rsidRDefault="00E71B42" w:rsidP="007B680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cstheme="minorHAnsi"/>
                <w:b/>
                <w:szCs w:val="16"/>
              </w:rPr>
              <w:t xml:space="preserve">Clause de revalorisation </w:t>
            </w:r>
            <w:r>
              <w:rPr>
                <w:rFonts w:cstheme="minorHAnsi"/>
                <w:b/>
                <w:i/>
                <w:szCs w:val="16"/>
              </w:rPr>
              <w:t>(possible si l’assemblée délibérante vote les montants maxima fixés par les textes réglementaires)</w:t>
            </w:r>
            <w:r>
              <w:rPr>
                <w:rFonts w:cstheme="minorHAnsi"/>
                <w:b/>
                <w:szCs w:val="16"/>
              </w:rPr>
              <w:t> :</w:t>
            </w:r>
          </w:p>
          <w:p w:rsidR="00E71B4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E71B42">
              <w:rPr>
                <w:rFonts w:ascii="Calibri" w:hAnsi="Calibri" w:cs="Calibri"/>
                <w:sz w:val="18"/>
              </w:rPr>
              <w:t>Les montants maxima (plafonds) évoluent selon les mêmes conditions que les montants applicables aux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E71B42">
              <w:rPr>
                <w:rFonts w:ascii="Calibri" w:hAnsi="Calibri" w:cs="Calibri"/>
                <w:sz w:val="18"/>
              </w:rPr>
              <w:t>fonctionnaires de l’État.</w:t>
            </w:r>
          </w:p>
          <w:p w:rsidR="00E71B42" w:rsidRDefault="00E71B42" w:rsidP="00E71B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E71B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71B42">
              <w:rPr>
                <w:rFonts w:ascii="Calibri" w:hAnsi="Calibri" w:cs="Calibri"/>
                <w:b/>
                <w:u w:val="single"/>
              </w:rPr>
              <w:t>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71B42" w:rsidRDefault="00E71B42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cstheme="minorHAnsi"/>
                <w:b/>
                <w:szCs w:val="16"/>
              </w:rPr>
              <w:t>La date d’effet :</w:t>
            </w:r>
          </w:p>
          <w:p w:rsidR="007968B1" w:rsidRPr="00E71B42" w:rsidRDefault="00E71B42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Les dispositions de la présente délibération prendront effet au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 Les crédits correspondants seront prévus et inscrits au budget.</w:t>
            </w:r>
            <w:bookmarkStart w:id="0" w:name="_GoBack"/>
            <w:bookmarkEnd w:id="0"/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AC" w:rsidRDefault="00EC4DAC" w:rsidP="00992F41">
      <w:pPr>
        <w:spacing w:after="0" w:line="240" w:lineRule="auto"/>
      </w:pPr>
      <w:r>
        <w:separator/>
      </w:r>
    </w:p>
  </w:endnote>
  <w:end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AC" w:rsidRDefault="00EC4DAC" w:rsidP="00992F41">
      <w:pPr>
        <w:spacing w:after="0" w:line="240" w:lineRule="auto"/>
      </w:pPr>
      <w:r>
        <w:separator/>
      </w:r>
    </w:p>
  </w:footnote>
  <w:foot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5E" w:rsidRPr="00FA5CD9" w:rsidRDefault="009B475E" w:rsidP="009B475E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893CE7">
      <w:rPr>
        <w:i/>
        <w:color w:val="808080" w:themeColor="background1" w:themeShade="80"/>
      </w:rPr>
      <w:t>décembre 2024</w:t>
    </w:r>
  </w:p>
  <w:p w:rsidR="009B475E" w:rsidRDefault="009B4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F6BA1"/>
    <w:multiLevelType w:val="hybridMultilevel"/>
    <w:tmpl w:val="B00A1E1E"/>
    <w:lvl w:ilvl="0" w:tplc="FBE42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26CB0"/>
    <w:multiLevelType w:val="hybridMultilevel"/>
    <w:tmpl w:val="D90E7246"/>
    <w:lvl w:ilvl="0" w:tplc="FBE42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4F9D"/>
    <w:multiLevelType w:val="hybridMultilevel"/>
    <w:tmpl w:val="B5A643BC"/>
    <w:lvl w:ilvl="0" w:tplc="FBE42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B4C57"/>
    <w:multiLevelType w:val="hybridMultilevel"/>
    <w:tmpl w:val="CDD87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A18E8"/>
    <w:multiLevelType w:val="hybridMultilevel"/>
    <w:tmpl w:val="5B9A9EA4"/>
    <w:lvl w:ilvl="0" w:tplc="FBE42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D2400"/>
    <w:rsid w:val="000E1A9E"/>
    <w:rsid w:val="001036A3"/>
    <w:rsid w:val="00104666"/>
    <w:rsid w:val="00130674"/>
    <w:rsid w:val="00131D9E"/>
    <w:rsid w:val="001C4432"/>
    <w:rsid w:val="001C6AF1"/>
    <w:rsid w:val="001E309B"/>
    <w:rsid w:val="00216986"/>
    <w:rsid w:val="00232F1A"/>
    <w:rsid w:val="00264A27"/>
    <w:rsid w:val="0028085B"/>
    <w:rsid w:val="002B00BA"/>
    <w:rsid w:val="002C7932"/>
    <w:rsid w:val="002E47E1"/>
    <w:rsid w:val="003520C3"/>
    <w:rsid w:val="00353E93"/>
    <w:rsid w:val="00390CE1"/>
    <w:rsid w:val="003E56B6"/>
    <w:rsid w:val="00405B76"/>
    <w:rsid w:val="00441437"/>
    <w:rsid w:val="004C47E8"/>
    <w:rsid w:val="0052435D"/>
    <w:rsid w:val="005271CF"/>
    <w:rsid w:val="005400FF"/>
    <w:rsid w:val="00572A22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702CDA"/>
    <w:rsid w:val="00720471"/>
    <w:rsid w:val="00791668"/>
    <w:rsid w:val="007968B1"/>
    <w:rsid w:val="00893CE7"/>
    <w:rsid w:val="008C0284"/>
    <w:rsid w:val="00992F41"/>
    <w:rsid w:val="009B475E"/>
    <w:rsid w:val="00A14948"/>
    <w:rsid w:val="00A17B90"/>
    <w:rsid w:val="00A421B8"/>
    <w:rsid w:val="00A75050"/>
    <w:rsid w:val="00A91285"/>
    <w:rsid w:val="00AD2325"/>
    <w:rsid w:val="00AE1755"/>
    <w:rsid w:val="00B86A44"/>
    <w:rsid w:val="00C10417"/>
    <w:rsid w:val="00C23A3B"/>
    <w:rsid w:val="00C85819"/>
    <w:rsid w:val="00C93136"/>
    <w:rsid w:val="00CB4623"/>
    <w:rsid w:val="00D50C32"/>
    <w:rsid w:val="00D74D03"/>
    <w:rsid w:val="00D940DC"/>
    <w:rsid w:val="00DA2461"/>
    <w:rsid w:val="00DE72F7"/>
    <w:rsid w:val="00E005DD"/>
    <w:rsid w:val="00E71B42"/>
    <w:rsid w:val="00EC448E"/>
    <w:rsid w:val="00EC4DAC"/>
    <w:rsid w:val="00EE274E"/>
    <w:rsid w:val="00F34C8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A56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A2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B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75E"/>
  </w:style>
  <w:style w:type="paragraph" w:styleId="Pieddepage">
    <w:name w:val="footer"/>
    <w:basedOn w:val="Normal"/>
    <w:link w:val="PieddepageCar"/>
    <w:uiPriority w:val="99"/>
    <w:unhideWhenUsed/>
    <w:rsid w:val="009B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4538-8144-4529-ABD8-381517E0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2024-11-28T13:49:00Z</dcterms:created>
  <dcterms:modified xsi:type="dcterms:W3CDTF">2024-11-28T14:03:00Z</dcterms:modified>
</cp:coreProperties>
</file>