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A0F" w:rsidRDefault="0072420F">
      <w:pPr>
        <w:jc w:val="center"/>
        <w:rPr>
          <w:rFonts w:ascii="Century Gothic" w:eastAsia="Calibri" w:hAnsi="Century Gothic" w:cs="CalifornianFB"/>
          <w:b/>
          <w:sz w:val="22"/>
          <w:szCs w:val="22"/>
          <w:lang w:eastAsia="en-US"/>
        </w:rPr>
      </w:pPr>
      <w:r>
        <w:rPr>
          <w:rFonts w:ascii="Century Gothic" w:eastAsia="Calibri" w:hAnsi="Century Gothic" w:cs="CalifornianFB"/>
          <w:b/>
          <w:sz w:val="22"/>
          <w:szCs w:val="22"/>
          <w:lang w:eastAsia="en-US"/>
        </w:rPr>
        <w:t>DÉLIBÉRATION</w:t>
      </w:r>
    </w:p>
    <w:p w:rsidR="00BD3A0F" w:rsidRDefault="00BD3A0F">
      <w:pPr>
        <w:rPr>
          <w:rStyle w:val="Accentuation"/>
          <w:i w:val="0"/>
          <w:sz w:val="28"/>
          <w:szCs w:val="28"/>
        </w:rPr>
      </w:pPr>
    </w:p>
    <w:p w:rsidR="00BD3A0F" w:rsidRDefault="0072420F">
      <w:pPr>
        <w:jc w:val="both"/>
        <w:rPr>
          <w:rFonts w:ascii="Century Gothic" w:eastAsiaTheme="minorHAnsi" w:hAnsi="Century Gothic" w:cs="CalifornianFB"/>
          <w:b/>
          <w:sz w:val="18"/>
          <w:szCs w:val="18"/>
          <w:lang w:eastAsia="en-US"/>
        </w:rPr>
      </w:pPr>
      <w:r>
        <w:rPr>
          <w:rFonts w:ascii="Century Gothic" w:eastAsiaTheme="minorHAnsi" w:hAnsi="Century Gothic" w:cs="CalifornianFB"/>
          <w:b/>
          <w:sz w:val="18"/>
          <w:szCs w:val="18"/>
          <w:u w:val="single"/>
          <w:lang w:eastAsia="en-US"/>
        </w:rPr>
        <w:t>OBJET</w:t>
      </w:r>
      <w:r>
        <w:rPr>
          <w:rFonts w:ascii="Century Gothic" w:eastAsiaTheme="minorHAnsi" w:hAnsi="Century Gothic" w:cs="CalifornianFB"/>
          <w:b/>
          <w:sz w:val="18"/>
          <w:szCs w:val="18"/>
          <w:lang w:eastAsia="en-US"/>
        </w:rPr>
        <w:t> : PLAFONDS DE PRISE EN CHARGE DU COMPTE PERSONNEL DE FORMATION</w:t>
      </w:r>
    </w:p>
    <w:p w:rsidR="00BD3A0F" w:rsidRDefault="00BD3A0F">
      <w:pPr>
        <w:jc w:val="both"/>
        <w:rPr>
          <w:rFonts w:ascii="Century Gothic" w:eastAsiaTheme="minorHAnsi" w:hAnsi="Century Gothic" w:cs="CalifornianFB"/>
          <w:b/>
          <w:sz w:val="18"/>
          <w:szCs w:val="18"/>
          <w:lang w:eastAsia="en-US"/>
        </w:rPr>
      </w:pPr>
    </w:p>
    <w:p w:rsidR="00BD3A0F" w:rsidRDefault="0072420F">
      <w:pPr>
        <w:pStyle w:val="Default"/>
        <w:jc w:val="both"/>
        <w:rPr>
          <w:rFonts w:ascii="Times New Roman" w:hAnsi="Times New Roman" w:cs="Times New Roman"/>
          <w:sz w:val="18"/>
          <w:szCs w:val="18"/>
        </w:rPr>
      </w:pPr>
      <w:r>
        <w:rPr>
          <w:rFonts w:ascii="Times New Roman" w:hAnsi="Times New Roman" w:cs="Times New Roman"/>
          <w:sz w:val="18"/>
          <w:szCs w:val="18"/>
        </w:rPr>
        <w:t>DÉLIBÉRATION DU CONSEIL (MUNICIPAL/COMMUNAUTAIRE ou SYNDICAL) en date du [date]</w:t>
      </w:r>
    </w:p>
    <w:p w:rsidR="00BD3A0F" w:rsidRDefault="00BD3A0F">
      <w:pPr>
        <w:pStyle w:val="Default"/>
        <w:jc w:val="both"/>
        <w:rPr>
          <w:rFonts w:ascii="Times New Roman" w:hAnsi="Times New Roman" w:cs="Times New Roman"/>
          <w:sz w:val="18"/>
          <w:szCs w:val="18"/>
        </w:rPr>
      </w:pPr>
    </w:p>
    <w:p w:rsidR="00BD3A0F" w:rsidRDefault="0072420F">
      <w:pPr>
        <w:pStyle w:val="Default"/>
        <w:jc w:val="both"/>
        <w:rPr>
          <w:rFonts w:ascii="Times New Roman" w:hAnsi="Times New Roman" w:cs="Times New Roman"/>
          <w:sz w:val="18"/>
          <w:szCs w:val="18"/>
        </w:rPr>
      </w:pPr>
      <w:r>
        <w:rPr>
          <w:rFonts w:ascii="Times New Roman" w:hAnsi="Times New Roman" w:cs="Times New Roman"/>
          <w:sz w:val="18"/>
          <w:szCs w:val="18"/>
        </w:rPr>
        <w:t>Vu la loi n°83-634 du 13 juillet 1983 portant droits et obligations des fonctionnaires ;</w:t>
      </w:r>
    </w:p>
    <w:p w:rsidR="00BD3A0F" w:rsidRDefault="0072420F">
      <w:pPr>
        <w:pStyle w:val="Default"/>
        <w:jc w:val="both"/>
        <w:rPr>
          <w:rFonts w:ascii="Times New Roman" w:hAnsi="Times New Roman" w:cs="Times New Roman"/>
          <w:sz w:val="18"/>
          <w:szCs w:val="18"/>
        </w:rPr>
      </w:pPr>
      <w:r>
        <w:rPr>
          <w:rFonts w:ascii="Times New Roman" w:hAnsi="Times New Roman" w:cs="Times New Roman"/>
          <w:sz w:val="18"/>
          <w:szCs w:val="18"/>
        </w:rPr>
        <w:t>Vu la loi n° 84-53 du 26 janvier 1984 portant dispositions statutaires relatives à la Fonction Publique Territoriale ;</w:t>
      </w:r>
    </w:p>
    <w:p w:rsidR="00BD3A0F" w:rsidRDefault="0072420F">
      <w:pPr>
        <w:pStyle w:val="Default"/>
        <w:jc w:val="both"/>
        <w:rPr>
          <w:rFonts w:ascii="Times New Roman" w:hAnsi="Times New Roman" w:cs="Times New Roman"/>
          <w:sz w:val="18"/>
          <w:szCs w:val="18"/>
        </w:rPr>
      </w:pPr>
      <w:r>
        <w:rPr>
          <w:rFonts w:ascii="Times New Roman" w:hAnsi="Times New Roman" w:cs="Times New Roman"/>
          <w:sz w:val="18"/>
          <w:szCs w:val="18"/>
        </w:rPr>
        <w:t>Vu la loi n° 84-594 du 12 juillet 1984 relative à la formation des agents de la fonction publique territoriale et complétant la loi n° 84</w:t>
      </w:r>
      <w:r>
        <w:rPr>
          <w:rFonts w:ascii="Times New Roman" w:hAnsi="Times New Roman" w:cs="Times New Roman"/>
          <w:sz w:val="18"/>
          <w:szCs w:val="18"/>
        </w:rPr>
        <w:t xml:space="preserve">-53 du 26 janvier 1984 portant dispositions statutaires relatives à la fonction publique territoriale ; </w:t>
      </w:r>
    </w:p>
    <w:p w:rsidR="00BD3A0F" w:rsidRDefault="0072420F">
      <w:pPr>
        <w:pStyle w:val="Default"/>
        <w:jc w:val="both"/>
        <w:rPr>
          <w:rFonts w:ascii="Times New Roman" w:hAnsi="Times New Roman" w:cs="Times New Roman"/>
          <w:sz w:val="18"/>
          <w:szCs w:val="18"/>
        </w:rPr>
      </w:pPr>
      <w:r>
        <w:rPr>
          <w:rFonts w:ascii="Times New Roman" w:hAnsi="Times New Roman" w:cs="Times New Roman"/>
          <w:sz w:val="18"/>
          <w:szCs w:val="18"/>
        </w:rPr>
        <w:t xml:space="preserve">Vu la loi n° 2016-1088 du 8 août 2016 relative au travail, à la modernisation du dialogue social et à la sécurisation des parcours professionnels ; </w:t>
      </w:r>
    </w:p>
    <w:p w:rsidR="00BD3A0F" w:rsidRDefault="0072420F">
      <w:pPr>
        <w:pStyle w:val="Default"/>
        <w:jc w:val="both"/>
        <w:rPr>
          <w:rFonts w:ascii="Times New Roman" w:hAnsi="Times New Roman" w:cs="Times New Roman"/>
          <w:sz w:val="18"/>
          <w:szCs w:val="18"/>
        </w:rPr>
      </w:pPr>
      <w:r>
        <w:rPr>
          <w:rFonts w:ascii="Times New Roman" w:hAnsi="Times New Roman" w:cs="Times New Roman"/>
          <w:sz w:val="18"/>
          <w:szCs w:val="18"/>
        </w:rPr>
        <w:t>Vu</w:t>
      </w:r>
      <w:r>
        <w:rPr>
          <w:rFonts w:ascii="Times New Roman" w:hAnsi="Times New Roman" w:cs="Times New Roman"/>
          <w:sz w:val="18"/>
          <w:szCs w:val="18"/>
        </w:rPr>
        <w:t xml:space="preserve"> l’ordonnance n° 2017-53 du 19 janvier 2017 portant diverses dispositions relatives au compte personnel d'activité, à la formation et à la santé et la sécurité au travail dans la fonction publique ; </w:t>
      </w:r>
    </w:p>
    <w:p w:rsidR="00BD3A0F" w:rsidRDefault="0072420F">
      <w:pPr>
        <w:pStyle w:val="Default"/>
        <w:jc w:val="both"/>
        <w:rPr>
          <w:rFonts w:ascii="Times New Roman" w:hAnsi="Times New Roman" w:cs="Times New Roman"/>
          <w:sz w:val="18"/>
          <w:szCs w:val="18"/>
        </w:rPr>
      </w:pPr>
      <w:r>
        <w:rPr>
          <w:rFonts w:ascii="Times New Roman" w:hAnsi="Times New Roman" w:cs="Times New Roman"/>
          <w:sz w:val="18"/>
          <w:szCs w:val="18"/>
        </w:rPr>
        <w:t xml:space="preserve">Vu le décret n° 2007-1845 du 26 décembre 2007 relatif à </w:t>
      </w:r>
      <w:r>
        <w:rPr>
          <w:rFonts w:ascii="Times New Roman" w:hAnsi="Times New Roman" w:cs="Times New Roman"/>
          <w:sz w:val="18"/>
          <w:szCs w:val="18"/>
        </w:rPr>
        <w:t xml:space="preserve">la formation professionnelle tout au long de la vie des agents de la fonction publique territoriale ; </w:t>
      </w:r>
    </w:p>
    <w:p w:rsidR="00BD3A0F" w:rsidRDefault="0072420F">
      <w:pPr>
        <w:pStyle w:val="Default"/>
        <w:jc w:val="both"/>
        <w:rPr>
          <w:rFonts w:ascii="Times New Roman" w:hAnsi="Times New Roman" w:cs="Times New Roman"/>
          <w:sz w:val="18"/>
          <w:szCs w:val="18"/>
        </w:rPr>
      </w:pPr>
      <w:r>
        <w:rPr>
          <w:rFonts w:ascii="Times New Roman" w:hAnsi="Times New Roman" w:cs="Times New Roman"/>
          <w:sz w:val="18"/>
          <w:szCs w:val="18"/>
        </w:rPr>
        <w:t>Vu le décret n°2014-1717 du 30 décembre 2014 portant création d'un traitement automatisé de données à caractère personnel dénommé « Système d'information</w:t>
      </w:r>
      <w:r>
        <w:rPr>
          <w:rFonts w:ascii="Times New Roman" w:hAnsi="Times New Roman" w:cs="Times New Roman"/>
          <w:sz w:val="18"/>
          <w:szCs w:val="18"/>
        </w:rPr>
        <w:t xml:space="preserve"> du compte personnel de formation » relatif à la gestion des droits inscrits ou mentionnés au compte personnel de formation ;</w:t>
      </w:r>
    </w:p>
    <w:p w:rsidR="00BD3A0F" w:rsidRDefault="0072420F">
      <w:pPr>
        <w:pStyle w:val="Default"/>
        <w:jc w:val="both"/>
        <w:rPr>
          <w:rFonts w:ascii="Times New Roman" w:hAnsi="Times New Roman" w:cs="Times New Roman"/>
          <w:sz w:val="18"/>
          <w:szCs w:val="18"/>
        </w:rPr>
      </w:pPr>
      <w:r>
        <w:rPr>
          <w:rFonts w:ascii="Times New Roman" w:hAnsi="Times New Roman" w:cs="Times New Roman"/>
          <w:sz w:val="18"/>
          <w:szCs w:val="18"/>
        </w:rPr>
        <w:t>Vu le décret n° 2017-928 du 6 mai 2017 relatif à la mise en œuvre du compte personnel d'activité dans la fonction publique et à la</w:t>
      </w:r>
      <w:r>
        <w:rPr>
          <w:rFonts w:ascii="Times New Roman" w:hAnsi="Times New Roman" w:cs="Times New Roman"/>
          <w:sz w:val="18"/>
          <w:szCs w:val="18"/>
        </w:rPr>
        <w:t xml:space="preserve"> formation professionnelle tout au long de la vie ;</w:t>
      </w:r>
    </w:p>
    <w:p w:rsidR="00BD3A0F" w:rsidRDefault="0072420F">
      <w:pPr>
        <w:pStyle w:val="Default"/>
        <w:jc w:val="both"/>
        <w:rPr>
          <w:rFonts w:ascii="Times New Roman" w:hAnsi="Times New Roman" w:cs="Times New Roman"/>
          <w:sz w:val="18"/>
          <w:szCs w:val="18"/>
        </w:rPr>
      </w:pPr>
      <w:r>
        <w:rPr>
          <w:rFonts w:ascii="Times New Roman" w:hAnsi="Times New Roman" w:cs="Times New Roman"/>
          <w:sz w:val="18"/>
          <w:szCs w:val="18"/>
        </w:rPr>
        <w:t xml:space="preserve">Vu l’avis favorable/défavorable du </w:t>
      </w:r>
      <w:bookmarkStart w:id="0" w:name="_GoBack"/>
      <w:r w:rsidRPr="0072420F">
        <w:rPr>
          <w:rFonts w:ascii="Arial" w:hAnsi="Arial" w:cs="Arial"/>
          <w:sz w:val="16"/>
          <w:szCs w:val="16"/>
        </w:rPr>
        <w:t>comité social territorial</w:t>
      </w:r>
      <w:r>
        <w:rPr>
          <w:rFonts w:cstheme="minorHAnsi"/>
          <w:sz w:val="18"/>
          <w:szCs w:val="16"/>
        </w:rPr>
        <w:t xml:space="preserve"> </w:t>
      </w:r>
      <w:bookmarkEnd w:id="0"/>
      <w:r>
        <w:rPr>
          <w:rFonts w:ascii="Times New Roman" w:hAnsi="Times New Roman" w:cs="Times New Roman"/>
          <w:sz w:val="18"/>
          <w:szCs w:val="18"/>
        </w:rPr>
        <w:t>en date du [date].</w:t>
      </w:r>
    </w:p>
    <w:p w:rsidR="00BD3A0F" w:rsidRDefault="00BD3A0F">
      <w:pPr>
        <w:rPr>
          <w:rFonts w:ascii="Century Gothic" w:hAnsi="Century Gothic" w:cstheme="minorHAnsi"/>
          <w:b/>
          <w:sz w:val="22"/>
          <w:szCs w:val="22"/>
        </w:rPr>
      </w:pPr>
    </w:p>
    <w:p w:rsidR="00BD3A0F" w:rsidRDefault="0072420F">
      <w:pPr>
        <w:jc w:val="both"/>
        <w:rPr>
          <w:rFonts w:eastAsiaTheme="minorHAnsi"/>
          <w:b/>
          <w:i/>
          <w:lang w:eastAsia="en-US"/>
        </w:rPr>
      </w:pPr>
      <w:r>
        <w:rPr>
          <w:rFonts w:eastAsiaTheme="minorHAnsi"/>
          <w:b/>
          <w:i/>
          <w:lang w:eastAsia="en-US"/>
        </w:rPr>
        <w:t>Considérant ce qui suit :</w:t>
      </w:r>
    </w:p>
    <w:p w:rsidR="00BD3A0F" w:rsidRDefault="00BD3A0F">
      <w:pPr>
        <w:jc w:val="both"/>
        <w:rPr>
          <w:rFonts w:ascii="Century Gothic" w:hAnsi="Century Gothic" w:cstheme="minorHAnsi"/>
          <w:sz w:val="22"/>
          <w:szCs w:val="22"/>
        </w:rPr>
      </w:pPr>
    </w:p>
    <w:p w:rsidR="00BD3A0F" w:rsidRDefault="0072420F">
      <w:pPr>
        <w:jc w:val="both"/>
        <w:rPr>
          <w:rFonts w:eastAsiaTheme="minorHAnsi"/>
          <w:i/>
          <w:lang w:eastAsia="en-US"/>
        </w:rPr>
      </w:pPr>
      <w:r>
        <w:rPr>
          <w:rFonts w:eastAsiaTheme="minorHAnsi"/>
          <w:i/>
          <w:lang w:eastAsia="en-US"/>
        </w:rPr>
        <w:t xml:space="preserve">En application de l’article 44 de la loi n°2016-1088 du 8 août 2016 relative au travail, à la </w:t>
      </w:r>
      <w:r>
        <w:rPr>
          <w:rFonts w:eastAsiaTheme="minorHAnsi"/>
          <w:i/>
          <w:lang w:eastAsia="en-US"/>
        </w:rPr>
        <w:t>modernisation du dialogue social et à la sécurisation des parcours professionnels, l’ordonnance n°2017-53 du 19 janvier 2017 a introduit de nouvelles dispositions dans la loi n°83-634 du 13 juillet 1983.</w:t>
      </w:r>
    </w:p>
    <w:p w:rsidR="00BD3A0F" w:rsidRDefault="00BD3A0F">
      <w:pPr>
        <w:jc w:val="both"/>
        <w:rPr>
          <w:rFonts w:eastAsiaTheme="minorHAnsi"/>
          <w:i/>
          <w:lang w:eastAsia="en-US"/>
        </w:rPr>
      </w:pPr>
    </w:p>
    <w:p w:rsidR="00BD3A0F" w:rsidRDefault="0072420F">
      <w:pPr>
        <w:jc w:val="both"/>
        <w:rPr>
          <w:rFonts w:eastAsiaTheme="minorHAnsi"/>
          <w:i/>
          <w:lang w:eastAsia="en-US"/>
        </w:rPr>
      </w:pPr>
      <w:r>
        <w:rPr>
          <w:rFonts w:eastAsiaTheme="minorHAnsi"/>
          <w:i/>
          <w:lang w:eastAsia="en-US"/>
        </w:rPr>
        <w:t>L’article 22 ter de la loi précitée crée, à l’insta</w:t>
      </w:r>
      <w:r>
        <w:rPr>
          <w:rFonts w:eastAsiaTheme="minorHAnsi"/>
          <w:i/>
          <w:lang w:eastAsia="en-US"/>
        </w:rPr>
        <w:t>r du dispositif existant pour les salariés de droit privé, un compte personnel d'activité (</w:t>
      </w:r>
      <w:proofErr w:type="spellStart"/>
      <w:r>
        <w:rPr>
          <w:rFonts w:eastAsiaTheme="minorHAnsi"/>
          <w:i/>
          <w:lang w:eastAsia="en-US"/>
        </w:rPr>
        <w:t>CPA</w:t>
      </w:r>
      <w:proofErr w:type="spellEnd"/>
      <w:r>
        <w:rPr>
          <w:rFonts w:eastAsiaTheme="minorHAnsi"/>
          <w:i/>
          <w:lang w:eastAsia="en-US"/>
        </w:rPr>
        <w:t>) au bénéfice des agents publics.</w:t>
      </w:r>
    </w:p>
    <w:p w:rsidR="00BD3A0F" w:rsidRDefault="00BD3A0F">
      <w:pPr>
        <w:jc w:val="both"/>
        <w:rPr>
          <w:rFonts w:eastAsiaTheme="minorHAnsi"/>
          <w:i/>
          <w:lang w:eastAsia="en-US"/>
        </w:rPr>
      </w:pPr>
    </w:p>
    <w:p w:rsidR="00BD3A0F" w:rsidRDefault="0072420F">
      <w:pPr>
        <w:jc w:val="both"/>
        <w:rPr>
          <w:rFonts w:eastAsiaTheme="minorHAnsi"/>
          <w:i/>
          <w:lang w:eastAsia="en-US"/>
        </w:rPr>
      </w:pPr>
      <w:r>
        <w:rPr>
          <w:rFonts w:eastAsiaTheme="minorHAnsi"/>
          <w:i/>
          <w:lang w:eastAsia="en-US"/>
        </w:rPr>
        <w:t>Le compte personnel d'activité se compose de deux comptes distincts :</w:t>
      </w:r>
    </w:p>
    <w:p w:rsidR="00BD3A0F" w:rsidRDefault="00BD3A0F">
      <w:pPr>
        <w:jc w:val="both"/>
        <w:rPr>
          <w:rFonts w:eastAsiaTheme="minorHAnsi"/>
          <w:i/>
          <w:lang w:eastAsia="en-US"/>
        </w:rPr>
      </w:pPr>
    </w:p>
    <w:p w:rsidR="00BD3A0F" w:rsidRDefault="0072420F">
      <w:pPr>
        <w:pStyle w:val="Paragraphedeliste"/>
        <w:numPr>
          <w:ilvl w:val="0"/>
          <w:numId w:val="1"/>
        </w:numPr>
        <w:jc w:val="both"/>
        <w:rPr>
          <w:rFonts w:eastAsiaTheme="minorHAnsi"/>
          <w:i/>
          <w:lang w:eastAsia="en-US"/>
        </w:rPr>
      </w:pPr>
      <w:proofErr w:type="gramStart"/>
      <w:r>
        <w:rPr>
          <w:rFonts w:eastAsiaTheme="minorHAnsi"/>
          <w:i/>
          <w:lang w:eastAsia="en-US"/>
        </w:rPr>
        <w:t>le</w:t>
      </w:r>
      <w:proofErr w:type="gramEnd"/>
      <w:r>
        <w:rPr>
          <w:rFonts w:eastAsiaTheme="minorHAnsi"/>
          <w:i/>
          <w:lang w:eastAsia="en-US"/>
        </w:rPr>
        <w:t xml:space="preserve"> compte personnel de formation (</w:t>
      </w:r>
      <w:proofErr w:type="spellStart"/>
      <w:r>
        <w:rPr>
          <w:rFonts w:eastAsiaTheme="minorHAnsi"/>
          <w:i/>
          <w:lang w:eastAsia="en-US"/>
        </w:rPr>
        <w:t>CPF</w:t>
      </w:r>
      <w:proofErr w:type="spellEnd"/>
      <w:r>
        <w:rPr>
          <w:rFonts w:eastAsiaTheme="minorHAnsi"/>
          <w:i/>
          <w:lang w:eastAsia="en-US"/>
        </w:rPr>
        <w:t xml:space="preserve">) ; </w:t>
      </w:r>
    </w:p>
    <w:p w:rsidR="00BD3A0F" w:rsidRDefault="0072420F">
      <w:pPr>
        <w:pStyle w:val="Paragraphedeliste"/>
        <w:numPr>
          <w:ilvl w:val="0"/>
          <w:numId w:val="1"/>
        </w:numPr>
        <w:jc w:val="both"/>
        <w:rPr>
          <w:rFonts w:eastAsiaTheme="minorHAnsi"/>
          <w:i/>
          <w:lang w:eastAsia="en-US"/>
        </w:rPr>
      </w:pPr>
      <w:proofErr w:type="gramStart"/>
      <w:r>
        <w:rPr>
          <w:rFonts w:eastAsiaTheme="minorHAnsi"/>
          <w:i/>
          <w:lang w:eastAsia="en-US"/>
        </w:rPr>
        <w:t>le</w:t>
      </w:r>
      <w:proofErr w:type="gramEnd"/>
      <w:r>
        <w:rPr>
          <w:rFonts w:eastAsiaTheme="minorHAnsi"/>
          <w:i/>
          <w:lang w:eastAsia="en-US"/>
        </w:rPr>
        <w:t xml:space="preserve"> compte d’en</w:t>
      </w:r>
      <w:r>
        <w:rPr>
          <w:rFonts w:eastAsiaTheme="minorHAnsi"/>
          <w:i/>
          <w:lang w:eastAsia="en-US"/>
        </w:rPr>
        <w:t>gagement citoyen (</w:t>
      </w:r>
      <w:proofErr w:type="spellStart"/>
      <w:r>
        <w:rPr>
          <w:rFonts w:eastAsiaTheme="minorHAnsi"/>
          <w:i/>
          <w:lang w:eastAsia="en-US"/>
        </w:rPr>
        <w:t>CEC</w:t>
      </w:r>
      <w:proofErr w:type="spellEnd"/>
      <w:r>
        <w:rPr>
          <w:rFonts w:eastAsiaTheme="minorHAnsi"/>
          <w:i/>
          <w:lang w:eastAsia="en-US"/>
        </w:rPr>
        <w:t>).</w:t>
      </w:r>
    </w:p>
    <w:p w:rsidR="00BD3A0F" w:rsidRDefault="00BD3A0F">
      <w:pPr>
        <w:jc w:val="both"/>
        <w:rPr>
          <w:rFonts w:eastAsiaTheme="minorHAnsi"/>
          <w:i/>
          <w:lang w:eastAsia="en-US"/>
        </w:rPr>
      </w:pPr>
    </w:p>
    <w:p w:rsidR="00BD3A0F" w:rsidRDefault="0072420F">
      <w:pPr>
        <w:jc w:val="both"/>
        <w:rPr>
          <w:rFonts w:eastAsiaTheme="minorHAnsi"/>
          <w:i/>
          <w:lang w:eastAsia="en-US"/>
        </w:rPr>
      </w:pPr>
      <w:r>
        <w:rPr>
          <w:rFonts w:eastAsiaTheme="minorHAnsi"/>
          <w:i/>
          <w:lang w:eastAsia="en-US"/>
        </w:rPr>
        <w:t xml:space="preserve">Le </w:t>
      </w:r>
      <w:proofErr w:type="spellStart"/>
      <w:r>
        <w:rPr>
          <w:rFonts w:eastAsiaTheme="minorHAnsi"/>
          <w:i/>
          <w:lang w:eastAsia="en-US"/>
        </w:rPr>
        <w:t>CPA</w:t>
      </w:r>
      <w:proofErr w:type="spellEnd"/>
      <w:r>
        <w:rPr>
          <w:rFonts w:eastAsiaTheme="minorHAnsi"/>
          <w:i/>
          <w:lang w:eastAsia="en-US"/>
        </w:rPr>
        <w:t xml:space="preserve"> a pour objectifs, par l’utilisation des droits qui y sont inscrits, de renforcer l’autonomie et la liberté d’action de l’agent et de faciliter son évolution professionnelle.</w:t>
      </w:r>
    </w:p>
    <w:p w:rsidR="00BD3A0F" w:rsidRDefault="00BD3A0F">
      <w:pPr>
        <w:jc w:val="both"/>
        <w:rPr>
          <w:rFonts w:eastAsiaTheme="minorHAnsi"/>
          <w:i/>
          <w:lang w:eastAsia="en-US"/>
        </w:rPr>
      </w:pPr>
    </w:p>
    <w:p w:rsidR="00BD3A0F" w:rsidRDefault="0072420F">
      <w:pPr>
        <w:jc w:val="both"/>
        <w:rPr>
          <w:rFonts w:eastAsiaTheme="minorHAnsi"/>
          <w:i/>
          <w:lang w:eastAsia="en-US"/>
        </w:rPr>
      </w:pPr>
      <w:r>
        <w:rPr>
          <w:rFonts w:eastAsiaTheme="minorHAnsi"/>
          <w:i/>
          <w:lang w:eastAsia="en-US"/>
        </w:rPr>
        <w:t xml:space="preserve">Ce dispositif bénéficie à l’ensemble des agents </w:t>
      </w:r>
      <w:r>
        <w:rPr>
          <w:rFonts w:eastAsiaTheme="minorHAnsi"/>
          <w:i/>
          <w:lang w:eastAsia="en-US"/>
        </w:rPr>
        <w:t>publics c’est à dire aux fonctionnaires et aux agents contractuels, qu’ils soient recrutés sur des emplois permanents ou non, à temps complet ou non complet.</w:t>
      </w:r>
    </w:p>
    <w:p w:rsidR="00BD3A0F" w:rsidRDefault="0072420F">
      <w:pPr>
        <w:jc w:val="both"/>
        <w:rPr>
          <w:rFonts w:eastAsiaTheme="minorHAnsi"/>
          <w:i/>
          <w:lang w:eastAsia="en-US"/>
        </w:rPr>
      </w:pPr>
      <w:r>
        <w:rPr>
          <w:rFonts w:eastAsiaTheme="minorHAnsi"/>
          <w:i/>
          <w:lang w:eastAsia="en-US"/>
        </w:rPr>
        <w:t xml:space="preserve">Le compte personnel de formation mis en œuvre dans ce cadre se substitue au droit individuel à la </w:t>
      </w:r>
      <w:r>
        <w:rPr>
          <w:rFonts w:eastAsiaTheme="minorHAnsi"/>
          <w:i/>
          <w:lang w:eastAsia="en-US"/>
        </w:rPr>
        <w:t>formation (</w:t>
      </w:r>
      <w:proofErr w:type="spellStart"/>
      <w:r>
        <w:rPr>
          <w:rFonts w:eastAsiaTheme="minorHAnsi"/>
          <w:i/>
          <w:lang w:eastAsia="en-US"/>
        </w:rPr>
        <w:t>DIF</w:t>
      </w:r>
      <w:proofErr w:type="spellEnd"/>
      <w:r>
        <w:rPr>
          <w:rFonts w:eastAsiaTheme="minorHAnsi"/>
          <w:i/>
          <w:lang w:eastAsia="en-US"/>
        </w:rPr>
        <w:t>). Il permet aux agents publics d’acquérir des droits à la formation, au regard du travail accompli, dans la limite de 150 heures, portés à 400 heures pour les agents de catégorie C dépourvus de qualifications. Un crédit d’heures supplémentai</w:t>
      </w:r>
      <w:r>
        <w:rPr>
          <w:rFonts w:eastAsiaTheme="minorHAnsi"/>
          <w:i/>
          <w:lang w:eastAsia="en-US"/>
        </w:rPr>
        <w:t>res est en outre attribué, dans la limite de 150 heures, à l’agent dont le projet d’évolution professionnelle vise à prévenir une situation d’inaptitude à l’exercice de ses fonctions.</w:t>
      </w:r>
    </w:p>
    <w:p w:rsidR="00BD3A0F" w:rsidRDefault="00BD3A0F">
      <w:pPr>
        <w:jc w:val="both"/>
        <w:rPr>
          <w:rFonts w:eastAsiaTheme="minorHAnsi"/>
          <w:i/>
          <w:lang w:eastAsia="en-US"/>
        </w:rPr>
      </w:pPr>
    </w:p>
    <w:p w:rsidR="00BD3A0F" w:rsidRDefault="00BD3A0F">
      <w:pPr>
        <w:jc w:val="both"/>
        <w:rPr>
          <w:rFonts w:eastAsiaTheme="minorHAnsi"/>
          <w:i/>
          <w:lang w:eastAsia="en-US"/>
        </w:rPr>
      </w:pPr>
    </w:p>
    <w:p w:rsidR="00BD3A0F" w:rsidRDefault="00BD3A0F">
      <w:pPr>
        <w:jc w:val="both"/>
        <w:rPr>
          <w:rFonts w:eastAsiaTheme="minorHAnsi"/>
          <w:i/>
          <w:lang w:eastAsia="en-US"/>
        </w:rPr>
      </w:pPr>
    </w:p>
    <w:p w:rsidR="00BD3A0F" w:rsidRDefault="0072420F">
      <w:pPr>
        <w:jc w:val="both"/>
        <w:rPr>
          <w:rFonts w:eastAsiaTheme="minorHAnsi"/>
          <w:i/>
          <w:lang w:eastAsia="en-US"/>
        </w:rPr>
      </w:pPr>
      <w:r>
        <w:rPr>
          <w:rFonts w:eastAsiaTheme="minorHAnsi"/>
          <w:i/>
          <w:lang w:eastAsia="en-US"/>
        </w:rPr>
        <w:t xml:space="preserve">Les agents publics peuvent accéder à toute action de formation, hors </w:t>
      </w:r>
      <w:r>
        <w:rPr>
          <w:rFonts w:eastAsiaTheme="minorHAnsi"/>
          <w:i/>
          <w:lang w:eastAsia="en-US"/>
        </w:rPr>
        <w:t>celles relatives à l’adaptation aux fonctions exercées, ayant pour objet l’acquisition d’un diplôme, d’un titre, d’un certificat de qualification professionnelle ou le développement des compétences nécessaires à la mise en œuvre de son projet d’évolution p</w:t>
      </w:r>
      <w:r>
        <w:rPr>
          <w:rFonts w:eastAsiaTheme="minorHAnsi"/>
          <w:i/>
          <w:lang w:eastAsia="en-US"/>
        </w:rPr>
        <w:t>rofessionnelle.</w:t>
      </w:r>
    </w:p>
    <w:p w:rsidR="00BD3A0F" w:rsidRDefault="00BD3A0F">
      <w:pPr>
        <w:jc w:val="both"/>
        <w:rPr>
          <w:rFonts w:eastAsiaTheme="minorHAnsi"/>
          <w:i/>
          <w:lang w:eastAsia="en-US"/>
        </w:rPr>
      </w:pPr>
    </w:p>
    <w:p w:rsidR="00BD3A0F" w:rsidRDefault="0072420F">
      <w:pPr>
        <w:jc w:val="both"/>
      </w:pPr>
      <w:r>
        <w:rPr>
          <w:rFonts w:eastAsiaTheme="minorHAnsi"/>
          <w:i/>
          <w:lang w:eastAsia="en-US"/>
        </w:rPr>
        <w:t xml:space="preserve">Certaines formations sont considérées par les textes réglementaires comme prioritaires dans l’utilisation du </w:t>
      </w:r>
      <w:proofErr w:type="spellStart"/>
      <w:r>
        <w:rPr>
          <w:rFonts w:eastAsiaTheme="minorHAnsi"/>
          <w:i/>
          <w:lang w:eastAsia="en-US"/>
        </w:rPr>
        <w:t>CPF</w:t>
      </w:r>
      <w:proofErr w:type="spellEnd"/>
      <w:r>
        <w:rPr>
          <w:rFonts w:eastAsiaTheme="minorHAnsi"/>
          <w:i/>
          <w:lang w:eastAsia="en-US"/>
        </w:rPr>
        <w:t xml:space="preserve"> :</w:t>
      </w:r>
    </w:p>
    <w:p w:rsidR="00BD3A0F" w:rsidRDefault="0072420F">
      <w:pPr>
        <w:pStyle w:val="Paragraphedeliste"/>
        <w:numPr>
          <w:ilvl w:val="0"/>
          <w:numId w:val="2"/>
        </w:numPr>
        <w:jc w:val="both"/>
        <w:rPr>
          <w:rFonts w:eastAsiaTheme="minorHAnsi"/>
          <w:i/>
          <w:lang w:eastAsia="en-US"/>
        </w:rPr>
      </w:pPr>
      <w:proofErr w:type="gramStart"/>
      <w:r>
        <w:rPr>
          <w:rFonts w:eastAsiaTheme="minorHAnsi"/>
          <w:i/>
          <w:lang w:eastAsia="en-US"/>
        </w:rPr>
        <w:t>la</w:t>
      </w:r>
      <w:proofErr w:type="gramEnd"/>
      <w:r>
        <w:rPr>
          <w:rFonts w:eastAsiaTheme="minorHAnsi"/>
          <w:i/>
          <w:lang w:eastAsia="en-US"/>
        </w:rPr>
        <w:t xml:space="preserve"> prévention d’une situation d’inaptitude à l’exercice des fonctions ;</w:t>
      </w:r>
    </w:p>
    <w:p w:rsidR="00BD3A0F" w:rsidRDefault="0072420F">
      <w:pPr>
        <w:pStyle w:val="Paragraphedeliste"/>
        <w:numPr>
          <w:ilvl w:val="0"/>
          <w:numId w:val="2"/>
        </w:numPr>
        <w:jc w:val="both"/>
        <w:rPr>
          <w:rFonts w:eastAsiaTheme="minorHAnsi"/>
          <w:i/>
          <w:lang w:eastAsia="en-US"/>
        </w:rPr>
      </w:pPr>
      <w:proofErr w:type="gramStart"/>
      <w:r>
        <w:rPr>
          <w:rFonts w:eastAsiaTheme="minorHAnsi"/>
          <w:i/>
          <w:lang w:eastAsia="en-US"/>
        </w:rPr>
        <w:t>la</w:t>
      </w:r>
      <w:proofErr w:type="gramEnd"/>
      <w:r>
        <w:rPr>
          <w:rFonts w:eastAsiaTheme="minorHAnsi"/>
          <w:i/>
          <w:lang w:eastAsia="en-US"/>
        </w:rPr>
        <w:t xml:space="preserve"> validation des acquis de l’expérience ;</w:t>
      </w:r>
    </w:p>
    <w:p w:rsidR="00BD3A0F" w:rsidRDefault="0072420F">
      <w:pPr>
        <w:pStyle w:val="Paragraphedeliste"/>
        <w:numPr>
          <w:ilvl w:val="0"/>
          <w:numId w:val="2"/>
        </w:numPr>
        <w:jc w:val="both"/>
        <w:rPr>
          <w:rFonts w:eastAsiaTheme="minorHAnsi"/>
          <w:i/>
          <w:lang w:eastAsia="en-US"/>
        </w:rPr>
      </w:pPr>
      <w:proofErr w:type="gramStart"/>
      <w:r>
        <w:rPr>
          <w:rFonts w:eastAsiaTheme="minorHAnsi"/>
          <w:i/>
          <w:lang w:eastAsia="en-US"/>
        </w:rPr>
        <w:t>la</w:t>
      </w:r>
      <w:proofErr w:type="gramEnd"/>
      <w:r>
        <w:rPr>
          <w:rFonts w:eastAsiaTheme="minorHAnsi"/>
          <w:i/>
          <w:lang w:eastAsia="en-US"/>
        </w:rPr>
        <w:t xml:space="preserve"> prépar</w:t>
      </w:r>
      <w:r>
        <w:rPr>
          <w:rFonts w:eastAsiaTheme="minorHAnsi"/>
          <w:i/>
          <w:lang w:eastAsia="en-US"/>
        </w:rPr>
        <w:t>ation aux concours et examens.</w:t>
      </w:r>
    </w:p>
    <w:p w:rsidR="00BD3A0F" w:rsidRDefault="00BD3A0F">
      <w:pPr>
        <w:jc w:val="both"/>
        <w:rPr>
          <w:rFonts w:eastAsiaTheme="minorHAnsi"/>
          <w:i/>
          <w:lang w:eastAsia="en-US"/>
        </w:rPr>
      </w:pPr>
    </w:p>
    <w:p w:rsidR="00BD3A0F" w:rsidRDefault="0072420F">
      <w:pPr>
        <w:jc w:val="both"/>
      </w:pPr>
      <w:r>
        <w:rPr>
          <w:rFonts w:eastAsiaTheme="minorHAnsi"/>
          <w:i/>
          <w:lang w:eastAsia="en-US"/>
        </w:rPr>
        <w:t>Le compte personnel de formation peut également être mobilisé en articulation avec le congé de formation professionnelle et en complément des congés pour validation des acquis de l’expérience et pour bilan de compétences.</w:t>
      </w:r>
    </w:p>
    <w:p w:rsidR="00BD3A0F" w:rsidRDefault="00BD3A0F">
      <w:pPr>
        <w:jc w:val="both"/>
        <w:rPr>
          <w:rFonts w:eastAsiaTheme="minorHAnsi"/>
          <w:i/>
          <w:lang w:eastAsia="en-US"/>
        </w:rPr>
      </w:pPr>
    </w:p>
    <w:p w:rsidR="00BD3A0F" w:rsidRDefault="0072420F">
      <w:pPr>
        <w:jc w:val="both"/>
        <w:rPr>
          <w:rFonts w:eastAsiaTheme="minorHAnsi"/>
          <w:i/>
          <w:lang w:eastAsia="en-US"/>
        </w:rPr>
      </w:pPr>
      <w:r>
        <w:rPr>
          <w:rFonts w:eastAsiaTheme="minorHAnsi"/>
          <w:i/>
          <w:lang w:eastAsia="en-US"/>
        </w:rPr>
        <w:t>L</w:t>
      </w:r>
      <w:r>
        <w:rPr>
          <w:rFonts w:eastAsiaTheme="minorHAnsi"/>
          <w:i/>
          <w:lang w:eastAsia="en-US"/>
        </w:rPr>
        <w:t xml:space="preserve">e décret du 6 mai 2017 précise les conditions et modalités d’utilisation du </w:t>
      </w:r>
      <w:proofErr w:type="spellStart"/>
      <w:r>
        <w:rPr>
          <w:rFonts w:eastAsiaTheme="minorHAnsi"/>
          <w:i/>
          <w:lang w:eastAsia="en-US"/>
        </w:rPr>
        <w:t>CPF</w:t>
      </w:r>
      <w:proofErr w:type="spellEnd"/>
      <w:r>
        <w:rPr>
          <w:rFonts w:eastAsiaTheme="minorHAnsi"/>
          <w:i/>
          <w:lang w:eastAsia="en-US"/>
        </w:rPr>
        <w:t xml:space="preserve"> et prévoit notamment que la prise en charge des frais pédagogiques et des frais occasionnés par le déplacement des agents à cette occasion peut faire l’objet de plafonds déterm</w:t>
      </w:r>
      <w:r>
        <w:rPr>
          <w:rFonts w:eastAsiaTheme="minorHAnsi"/>
          <w:i/>
          <w:lang w:eastAsia="en-US"/>
        </w:rPr>
        <w:t>inés par l’assemblée délibérante.</w:t>
      </w:r>
    </w:p>
    <w:p w:rsidR="00BD3A0F" w:rsidRDefault="00BD3A0F">
      <w:pPr>
        <w:jc w:val="both"/>
        <w:rPr>
          <w:rFonts w:eastAsiaTheme="minorHAnsi"/>
          <w:i/>
          <w:lang w:eastAsia="en-US"/>
        </w:rPr>
      </w:pPr>
    </w:p>
    <w:p w:rsidR="00BD3A0F" w:rsidRDefault="00BD3A0F">
      <w:pPr>
        <w:jc w:val="both"/>
        <w:rPr>
          <w:rFonts w:eastAsiaTheme="minorHAnsi"/>
          <w:i/>
          <w:lang w:eastAsia="en-US"/>
        </w:rPr>
      </w:pPr>
    </w:p>
    <w:p w:rsidR="00BD3A0F" w:rsidRDefault="0072420F">
      <w:pPr>
        <w:jc w:val="both"/>
        <w:rPr>
          <w:rFonts w:eastAsiaTheme="minorHAnsi"/>
          <w:i/>
          <w:sz w:val="21"/>
          <w:szCs w:val="21"/>
          <w:lang w:eastAsia="en-US"/>
        </w:rPr>
      </w:pPr>
      <w:r>
        <w:rPr>
          <w:rFonts w:eastAsiaTheme="minorHAnsi"/>
          <w:i/>
          <w:sz w:val="21"/>
          <w:szCs w:val="21"/>
          <w:lang w:eastAsia="en-US"/>
        </w:rPr>
        <w:t>Le conseil municipal/communautaire/syndical, après en avoir délibéré ;</w:t>
      </w:r>
    </w:p>
    <w:p w:rsidR="00BD3A0F" w:rsidRDefault="00BD3A0F">
      <w:pPr>
        <w:pStyle w:val="Retraitcorpsdetexte"/>
        <w:ind w:firstLine="0"/>
        <w:rPr>
          <w:rFonts w:ascii="Century Gothic" w:hAnsi="Century Gothic" w:cstheme="minorHAnsi"/>
          <w:b/>
          <w:sz w:val="22"/>
          <w:szCs w:val="22"/>
        </w:rPr>
      </w:pPr>
    </w:p>
    <w:p w:rsidR="00BD3A0F" w:rsidRDefault="0072420F">
      <w:pPr>
        <w:pStyle w:val="Retraitcorpsdetexte"/>
        <w:ind w:firstLine="0"/>
        <w:jc w:val="left"/>
        <w:rPr>
          <w:rFonts w:eastAsiaTheme="minorHAnsi"/>
          <w:b/>
          <w:lang w:eastAsia="en-US"/>
        </w:rPr>
      </w:pPr>
      <w:r>
        <w:rPr>
          <w:rFonts w:eastAsiaTheme="minorHAnsi"/>
          <w:b/>
          <w:lang w:eastAsia="en-US"/>
        </w:rPr>
        <w:t>DÉCIDE :</w:t>
      </w:r>
    </w:p>
    <w:p w:rsidR="00BD3A0F" w:rsidRDefault="00BD3A0F">
      <w:pPr>
        <w:pStyle w:val="Retraitcorpsdetexte"/>
        <w:ind w:firstLine="0"/>
        <w:rPr>
          <w:rFonts w:ascii="Century Gothic" w:hAnsi="Century Gothic" w:cstheme="minorHAnsi"/>
          <w:sz w:val="22"/>
          <w:szCs w:val="22"/>
        </w:rPr>
      </w:pPr>
    </w:p>
    <w:p w:rsidR="00BD3A0F" w:rsidRDefault="0072420F">
      <w:pPr>
        <w:jc w:val="both"/>
        <w:rPr>
          <w:rFonts w:ascii="Century Gothic" w:hAnsi="Century Gothic" w:cstheme="minorHAnsi"/>
        </w:rPr>
      </w:pPr>
      <w:r>
        <w:rPr>
          <w:rFonts w:ascii="Century Gothic" w:hAnsi="Century Gothic" w:cstheme="minorHAnsi"/>
          <w:b/>
        </w:rPr>
        <w:t>Article 1.</w:t>
      </w:r>
      <w:r>
        <w:rPr>
          <w:rFonts w:ascii="Century Gothic" w:hAnsi="Century Gothic" w:cstheme="minorHAnsi"/>
        </w:rPr>
        <w:t xml:space="preserve"> : </w:t>
      </w:r>
    </w:p>
    <w:p w:rsidR="00BD3A0F" w:rsidRDefault="0072420F">
      <w:pPr>
        <w:ind w:left="708"/>
        <w:jc w:val="both"/>
        <w:rPr>
          <w:rFonts w:eastAsiaTheme="minorHAnsi"/>
          <w:color w:val="000000"/>
          <w:sz w:val="18"/>
          <w:szCs w:val="18"/>
          <w:lang w:eastAsia="en-US"/>
        </w:rPr>
      </w:pPr>
      <w:r>
        <w:rPr>
          <w:rFonts w:eastAsiaTheme="minorHAnsi"/>
          <w:color w:val="000000"/>
          <w:sz w:val="18"/>
          <w:szCs w:val="18"/>
          <w:lang w:eastAsia="en-US"/>
        </w:rPr>
        <w:t xml:space="preserve">La prise en charge des frais pédagogiques se rattachant à la formation suivie au titre du compte personnel d’activité est </w:t>
      </w:r>
      <w:r>
        <w:rPr>
          <w:rFonts w:eastAsiaTheme="minorHAnsi"/>
          <w:color w:val="000000"/>
          <w:sz w:val="18"/>
          <w:szCs w:val="18"/>
          <w:lang w:eastAsia="en-US"/>
        </w:rPr>
        <w:t>plafonnée de la façon suivante :</w:t>
      </w:r>
    </w:p>
    <w:p w:rsidR="00BD3A0F" w:rsidRDefault="00BD3A0F">
      <w:pPr>
        <w:ind w:left="708"/>
        <w:jc w:val="both"/>
        <w:rPr>
          <w:rFonts w:eastAsiaTheme="minorHAnsi"/>
          <w:color w:val="000000"/>
          <w:sz w:val="18"/>
          <w:szCs w:val="18"/>
          <w:lang w:eastAsia="en-US"/>
        </w:rPr>
      </w:pPr>
    </w:p>
    <w:p w:rsidR="00BD3A0F" w:rsidRDefault="0072420F">
      <w:pPr>
        <w:pStyle w:val="Paragraphedeliste"/>
        <w:numPr>
          <w:ilvl w:val="0"/>
          <w:numId w:val="3"/>
        </w:numPr>
        <w:jc w:val="both"/>
        <w:rPr>
          <w:rFonts w:eastAsiaTheme="minorHAnsi"/>
          <w:color w:val="000000"/>
          <w:sz w:val="18"/>
          <w:szCs w:val="18"/>
          <w:lang w:eastAsia="en-US"/>
        </w:rPr>
      </w:pPr>
      <w:proofErr w:type="gramStart"/>
      <w:r>
        <w:rPr>
          <w:rFonts w:eastAsiaTheme="minorHAnsi"/>
          <w:color w:val="000000"/>
          <w:sz w:val="18"/>
          <w:szCs w:val="18"/>
          <w:lang w:eastAsia="en-US"/>
        </w:rPr>
        <w:t>plafond</w:t>
      </w:r>
      <w:proofErr w:type="gramEnd"/>
      <w:r>
        <w:rPr>
          <w:rFonts w:eastAsiaTheme="minorHAnsi"/>
          <w:color w:val="000000"/>
          <w:sz w:val="18"/>
          <w:szCs w:val="18"/>
          <w:lang w:eastAsia="en-US"/>
        </w:rPr>
        <w:t xml:space="preserve"> horaire : [montant] euros ;</w:t>
      </w:r>
    </w:p>
    <w:p w:rsidR="00BD3A0F" w:rsidRDefault="0072420F">
      <w:pPr>
        <w:pStyle w:val="Paragraphedeliste"/>
        <w:numPr>
          <w:ilvl w:val="0"/>
          <w:numId w:val="3"/>
        </w:numPr>
        <w:jc w:val="both"/>
        <w:rPr>
          <w:rFonts w:eastAsiaTheme="minorHAnsi"/>
          <w:color w:val="000000"/>
          <w:sz w:val="18"/>
          <w:szCs w:val="18"/>
          <w:lang w:eastAsia="en-US"/>
        </w:rPr>
      </w:pPr>
      <w:proofErr w:type="gramStart"/>
      <w:r>
        <w:rPr>
          <w:rFonts w:eastAsiaTheme="minorHAnsi"/>
          <w:color w:val="000000"/>
          <w:sz w:val="18"/>
          <w:szCs w:val="18"/>
          <w:lang w:eastAsia="en-US"/>
        </w:rPr>
        <w:t>et</w:t>
      </w:r>
      <w:proofErr w:type="gramEnd"/>
      <w:r>
        <w:rPr>
          <w:rFonts w:eastAsiaTheme="minorHAnsi"/>
          <w:color w:val="000000"/>
          <w:sz w:val="18"/>
          <w:szCs w:val="18"/>
          <w:lang w:eastAsia="en-US"/>
        </w:rPr>
        <w:t xml:space="preserve">/ou plafond par action de formation : [montant] euros ; </w:t>
      </w:r>
    </w:p>
    <w:p w:rsidR="00BD3A0F" w:rsidRDefault="0072420F">
      <w:pPr>
        <w:pStyle w:val="Paragraphedeliste"/>
        <w:numPr>
          <w:ilvl w:val="0"/>
          <w:numId w:val="3"/>
        </w:numPr>
        <w:jc w:val="both"/>
        <w:rPr>
          <w:rFonts w:eastAsiaTheme="minorHAnsi"/>
          <w:color w:val="000000"/>
          <w:sz w:val="18"/>
          <w:szCs w:val="18"/>
          <w:lang w:eastAsia="en-US"/>
        </w:rPr>
      </w:pPr>
      <w:proofErr w:type="gramStart"/>
      <w:r>
        <w:rPr>
          <w:rFonts w:eastAsiaTheme="minorHAnsi"/>
          <w:color w:val="000000"/>
          <w:sz w:val="18"/>
          <w:szCs w:val="18"/>
          <w:lang w:eastAsia="en-US"/>
        </w:rPr>
        <w:t>et</w:t>
      </w:r>
      <w:proofErr w:type="gramEnd"/>
      <w:r>
        <w:rPr>
          <w:rFonts w:eastAsiaTheme="minorHAnsi"/>
          <w:color w:val="000000"/>
          <w:sz w:val="18"/>
          <w:szCs w:val="18"/>
          <w:lang w:eastAsia="en-US"/>
        </w:rPr>
        <w:t xml:space="preserve"> /ou plafond par an et par agent : [montant] euros.</w:t>
      </w:r>
    </w:p>
    <w:p w:rsidR="00BD3A0F" w:rsidRDefault="00BD3A0F">
      <w:pPr>
        <w:jc w:val="both"/>
        <w:rPr>
          <w:rFonts w:eastAsiaTheme="minorHAnsi"/>
          <w:color w:val="000000"/>
          <w:sz w:val="18"/>
          <w:szCs w:val="18"/>
          <w:lang w:eastAsia="en-US"/>
        </w:rPr>
      </w:pPr>
    </w:p>
    <w:p w:rsidR="00BD3A0F" w:rsidRDefault="00BD3A0F">
      <w:pPr>
        <w:jc w:val="both"/>
        <w:rPr>
          <w:rFonts w:ascii="Century Gothic" w:hAnsi="Century Gothic" w:cstheme="minorHAnsi"/>
          <w:sz w:val="22"/>
          <w:szCs w:val="22"/>
        </w:rPr>
      </w:pPr>
    </w:p>
    <w:p w:rsidR="00BD3A0F" w:rsidRDefault="0072420F">
      <w:pPr>
        <w:jc w:val="both"/>
        <w:rPr>
          <w:rFonts w:ascii="Century Gothic" w:hAnsi="Century Gothic" w:cstheme="minorHAnsi"/>
        </w:rPr>
      </w:pPr>
      <w:r>
        <w:rPr>
          <w:rFonts w:ascii="Century Gothic" w:hAnsi="Century Gothic" w:cstheme="minorHAnsi"/>
          <w:b/>
        </w:rPr>
        <w:t>Article 2</w:t>
      </w:r>
      <w:r>
        <w:rPr>
          <w:rFonts w:ascii="Century Gothic" w:hAnsi="Century Gothic" w:cstheme="minorHAnsi"/>
        </w:rPr>
        <w:t> :</w:t>
      </w:r>
    </w:p>
    <w:p w:rsidR="00BD3A0F" w:rsidRDefault="0072420F">
      <w:pPr>
        <w:ind w:left="708"/>
        <w:jc w:val="both"/>
      </w:pPr>
      <w:r>
        <w:rPr>
          <w:rFonts w:eastAsiaTheme="minorHAnsi"/>
          <w:color w:val="000000"/>
          <w:sz w:val="18"/>
          <w:szCs w:val="18"/>
          <w:lang w:eastAsia="en-US"/>
        </w:rPr>
        <w:t>Les frais occasionnés par le déplacement des agents lors de</w:t>
      </w:r>
      <w:r>
        <w:rPr>
          <w:rFonts w:eastAsiaTheme="minorHAnsi"/>
          <w:color w:val="000000"/>
          <w:sz w:val="18"/>
          <w:szCs w:val="18"/>
          <w:lang w:eastAsia="en-US"/>
        </w:rPr>
        <w:t xml:space="preserve"> ces formations sont pris en charge conformément à la réglementation en vigueur.</w:t>
      </w:r>
    </w:p>
    <w:p w:rsidR="00BD3A0F" w:rsidRDefault="0072420F">
      <w:pPr>
        <w:ind w:left="708"/>
        <w:jc w:val="both"/>
        <w:rPr>
          <w:rFonts w:ascii="Century Gothic" w:hAnsi="Century Gothic" w:cstheme="minorHAnsi"/>
          <w:b/>
        </w:rPr>
      </w:pPr>
      <w:proofErr w:type="gramStart"/>
      <w:r>
        <w:rPr>
          <w:rFonts w:ascii="Century Gothic" w:hAnsi="Century Gothic" w:cstheme="minorHAnsi"/>
          <w:b/>
        </w:rPr>
        <w:t>OU</w:t>
      </w:r>
      <w:proofErr w:type="gramEnd"/>
      <w:r>
        <w:rPr>
          <w:rFonts w:ascii="Century Gothic" w:hAnsi="Century Gothic" w:cstheme="minorHAnsi"/>
          <w:b/>
        </w:rPr>
        <w:t xml:space="preserve"> </w:t>
      </w:r>
    </w:p>
    <w:p w:rsidR="00BD3A0F" w:rsidRDefault="0072420F">
      <w:pPr>
        <w:ind w:left="708"/>
        <w:jc w:val="both"/>
        <w:rPr>
          <w:rFonts w:eastAsiaTheme="minorHAnsi"/>
          <w:color w:val="000000"/>
          <w:sz w:val="18"/>
          <w:szCs w:val="18"/>
          <w:lang w:eastAsia="en-US"/>
        </w:rPr>
      </w:pPr>
      <w:r>
        <w:rPr>
          <w:rFonts w:eastAsiaTheme="minorHAnsi"/>
          <w:color w:val="000000"/>
          <w:sz w:val="18"/>
          <w:szCs w:val="18"/>
          <w:lang w:eastAsia="en-US"/>
        </w:rPr>
        <w:t xml:space="preserve">Les frais occasionnés par le déplacement des agents lors de ces formations ne sont pas pris en charge. </w:t>
      </w:r>
    </w:p>
    <w:p w:rsidR="00BD3A0F" w:rsidRDefault="00BD3A0F">
      <w:pPr>
        <w:pStyle w:val="Retraitcorpsdetexte"/>
        <w:rPr>
          <w:rFonts w:ascii="Century Gothic" w:hAnsi="Century Gothic" w:cstheme="minorHAnsi"/>
          <w:color w:val="FF0000"/>
        </w:rPr>
      </w:pPr>
    </w:p>
    <w:p w:rsidR="00BD3A0F" w:rsidRDefault="0072420F">
      <w:pPr>
        <w:pStyle w:val="Retraitcorpsdetexte"/>
        <w:ind w:left="-2154" w:right="57"/>
        <w:rPr>
          <w:rFonts w:ascii="Century Gothic" w:hAnsi="Century Gothic" w:cstheme="minorHAnsi"/>
          <w:b/>
        </w:rPr>
      </w:pPr>
      <w:r>
        <w:rPr>
          <w:rFonts w:ascii="Century Gothic" w:hAnsi="Century Gothic" w:cstheme="minorHAnsi"/>
          <w:b/>
        </w:rPr>
        <w:t>Article 3 :</w:t>
      </w:r>
    </w:p>
    <w:p w:rsidR="00BD3A0F" w:rsidRDefault="0072420F">
      <w:pPr>
        <w:ind w:left="708"/>
        <w:jc w:val="both"/>
        <w:rPr>
          <w:rFonts w:eastAsiaTheme="minorHAnsi"/>
          <w:color w:val="000000"/>
          <w:sz w:val="18"/>
          <w:szCs w:val="18"/>
          <w:lang w:eastAsia="en-US"/>
        </w:rPr>
      </w:pPr>
      <w:r>
        <w:rPr>
          <w:rFonts w:eastAsiaTheme="minorHAnsi"/>
          <w:color w:val="000000"/>
          <w:sz w:val="18"/>
          <w:szCs w:val="18"/>
          <w:lang w:eastAsia="en-US"/>
        </w:rPr>
        <w:t>Les actions de formations suivantes seront prioritaire</w:t>
      </w:r>
      <w:r>
        <w:rPr>
          <w:rFonts w:eastAsiaTheme="minorHAnsi"/>
          <w:color w:val="000000"/>
          <w:sz w:val="18"/>
          <w:szCs w:val="18"/>
          <w:lang w:eastAsia="en-US"/>
        </w:rPr>
        <w:t xml:space="preserve">ment accordées au titre du </w:t>
      </w:r>
      <w:proofErr w:type="spellStart"/>
      <w:r>
        <w:rPr>
          <w:rFonts w:eastAsiaTheme="minorHAnsi"/>
          <w:color w:val="000000"/>
          <w:sz w:val="18"/>
          <w:szCs w:val="18"/>
          <w:lang w:eastAsia="en-US"/>
        </w:rPr>
        <w:t>CPF</w:t>
      </w:r>
      <w:proofErr w:type="spellEnd"/>
      <w:r>
        <w:rPr>
          <w:rFonts w:eastAsiaTheme="minorHAnsi"/>
          <w:color w:val="000000"/>
          <w:sz w:val="18"/>
          <w:szCs w:val="18"/>
          <w:lang w:eastAsia="en-US"/>
        </w:rPr>
        <w:t> :</w:t>
      </w:r>
    </w:p>
    <w:p w:rsidR="00BD3A0F" w:rsidRDefault="00BD3A0F">
      <w:pPr>
        <w:ind w:left="708"/>
        <w:jc w:val="both"/>
        <w:rPr>
          <w:rFonts w:eastAsiaTheme="minorHAnsi"/>
          <w:color w:val="000000"/>
          <w:sz w:val="18"/>
          <w:szCs w:val="18"/>
          <w:lang w:eastAsia="en-US"/>
        </w:rPr>
      </w:pPr>
    </w:p>
    <w:p w:rsidR="00BD3A0F" w:rsidRDefault="0072420F">
      <w:pPr>
        <w:pStyle w:val="Paragraphedeliste"/>
        <w:numPr>
          <w:ilvl w:val="0"/>
          <w:numId w:val="4"/>
        </w:numPr>
        <w:jc w:val="both"/>
        <w:rPr>
          <w:rFonts w:eastAsiaTheme="minorHAnsi"/>
          <w:color w:val="000000"/>
          <w:sz w:val="18"/>
          <w:szCs w:val="18"/>
          <w:lang w:eastAsia="en-US"/>
        </w:rPr>
      </w:pPr>
      <w:proofErr w:type="gramStart"/>
      <w:r>
        <w:rPr>
          <w:rFonts w:eastAsiaTheme="minorHAnsi"/>
          <w:color w:val="000000"/>
          <w:sz w:val="18"/>
          <w:szCs w:val="18"/>
          <w:lang w:eastAsia="en-US"/>
        </w:rPr>
        <w:t>les</w:t>
      </w:r>
      <w:proofErr w:type="gramEnd"/>
      <w:r>
        <w:rPr>
          <w:rFonts w:eastAsiaTheme="minorHAnsi"/>
          <w:color w:val="000000"/>
          <w:sz w:val="18"/>
          <w:szCs w:val="18"/>
          <w:lang w:eastAsia="en-US"/>
        </w:rPr>
        <w:t xml:space="preserve"> actions de formation visant à prévenir une situation d’inaptitude à l’exercice des fonctions ;</w:t>
      </w:r>
    </w:p>
    <w:p w:rsidR="00BD3A0F" w:rsidRDefault="0072420F">
      <w:pPr>
        <w:pStyle w:val="Paragraphedeliste"/>
        <w:numPr>
          <w:ilvl w:val="0"/>
          <w:numId w:val="4"/>
        </w:numPr>
        <w:jc w:val="both"/>
        <w:rPr>
          <w:rFonts w:eastAsiaTheme="minorHAnsi"/>
          <w:color w:val="000000"/>
          <w:sz w:val="18"/>
          <w:szCs w:val="18"/>
          <w:lang w:eastAsia="en-US"/>
        </w:rPr>
      </w:pPr>
      <w:proofErr w:type="gramStart"/>
      <w:r>
        <w:rPr>
          <w:rFonts w:eastAsiaTheme="minorHAnsi"/>
          <w:color w:val="000000"/>
          <w:sz w:val="18"/>
          <w:szCs w:val="18"/>
          <w:lang w:eastAsia="en-US"/>
        </w:rPr>
        <w:t>la</w:t>
      </w:r>
      <w:proofErr w:type="gramEnd"/>
      <w:r>
        <w:rPr>
          <w:rFonts w:eastAsiaTheme="minorHAnsi"/>
          <w:color w:val="000000"/>
          <w:sz w:val="18"/>
          <w:szCs w:val="18"/>
          <w:lang w:eastAsia="en-US"/>
        </w:rPr>
        <w:t xml:space="preserve"> validation des acquis de l’expérience ;</w:t>
      </w:r>
    </w:p>
    <w:p w:rsidR="00BD3A0F" w:rsidRDefault="0072420F">
      <w:pPr>
        <w:pStyle w:val="Paragraphedeliste"/>
        <w:numPr>
          <w:ilvl w:val="0"/>
          <w:numId w:val="4"/>
        </w:numPr>
        <w:jc w:val="both"/>
        <w:rPr>
          <w:rFonts w:eastAsiaTheme="minorHAnsi"/>
          <w:color w:val="000000"/>
          <w:sz w:val="18"/>
          <w:szCs w:val="18"/>
          <w:lang w:eastAsia="en-US"/>
        </w:rPr>
      </w:pPr>
      <w:proofErr w:type="gramStart"/>
      <w:r>
        <w:rPr>
          <w:rFonts w:eastAsiaTheme="minorHAnsi"/>
          <w:color w:val="000000"/>
          <w:sz w:val="18"/>
          <w:szCs w:val="18"/>
          <w:lang w:eastAsia="en-US"/>
        </w:rPr>
        <w:t>la</w:t>
      </w:r>
      <w:proofErr w:type="gramEnd"/>
      <w:r>
        <w:rPr>
          <w:rFonts w:eastAsiaTheme="minorHAnsi"/>
          <w:color w:val="000000"/>
          <w:sz w:val="18"/>
          <w:szCs w:val="18"/>
          <w:lang w:eastAsia="en-US"/>
        </w:rPr>
        <w:t xml:space="preserve"> préparation aux concours et examens.</w:t>
      </w:r>
    </w:p>
    <w:p w:rsidR="00BD3A0F" w:rsidRDefault="00BD3A0F">
      <w:pPr>
        <w:ind w:left="708"/>
        <w:jc w:val="both"/>
        <w:rPr>
          <w:rFonts w:eastAsiaTheme="minorHAnsi"/>
          <w:color w:val="000000"/>
          <w:sz w:val="18"/>
          <w:szCs w:val="18"/>
          <w:lang w:eastAsia="en-US"/>
        </w:rPr>
      </w:pPr>
    </w:p>
    <w:p w:rsidR="00BD3A0F" w:rsidRDefault="0072420F">
      <w:pPr>
        <w:ind w:left="708"/>
        <w:jc w:val="both"/>
        <w:rPr>
          <w:rFonts w:eastAsiaTheme="minorHAnsi"/>
          <w:color w:val="000000"/>
          <w:sz w:val="18"/>
          <w:szCs w:val="18"/>
          <w:lang w:eastAsia="en-US"/>
        </w:rPr>
      </w:pPr>
      <w:r>
        <w:rPr>
          <w:rFonts w:eastAsiaTheme="minorHAnsi"/>
          <w:color w:val="000000"/>
          <w:sz w:val="18"/>
          <w:szCs w:val="18"/>
          <w:lang w:eastAsia="en-US"/>
        </w:rPr>
        <w:t>Les crédits correspondants sont inscrit</w:t>
      </w:r>
      <w:r>
        <w:rPr>
          <w:rFonts w:eastAsiaTheme="minorHAnsi"/>
          <w:color w:val="000000"/>
          <w:sz w:val="18"/>
          <w:szCs w:val="18"/>
          <w:lang w:eastAsia="en-US"/>
        </w:rPr>
        <w:t>s au budget.</w:t>
      </w:r>
    </w:p>
    <w:p w:rsidR="00BD3A0F" w:rsidRDefault="00BD3A0F">
      <w:pPr>
        <w:tabs>
          <w:tab w:val="left" w:pos="708"/>
        </w:tabs>
        <w:suppressAutoHyphens/>
        <w:jc w:val="both"/>
        <w:rPr>
          <w:rFonts w:ascii="Century Gothic" w:hAnsi="Century Gothic" w:cstheme="minorHAnsi"/>
          <w:color w:val="000000"/>
          <w:kern w:val="2"/>
          <w:sz w:val="22"/>
          <w:szCs w:val="22"/>
        </w:rPr>
      </w:pPr>
    </w:p>
    <w:p w:rsidR="00BD3A0F" w:rsidRDefault="00BD3A0F">
      <w:pPr>
        <w:tabs>
          <w:tab w:val="left" w:pos="708"/>
        </w:tabs>
        <w:suppressAutoHyphens/>
        <w:jc w:val="both"/>
        <w:rPr>
          <w:rFonts w:ascii="Century Gothic" w:hAnsi="Century Gothic" w:cstheme="minorHAnsi"/>
          <w:color w:val="000000"/>
          <w:kern w:val="2"/>
          <w:sz w:val="22"/>
          <w:szCs w:val="22"/>
        </w:rPr>
      </w:pPr>
    </w:p>
    <w:p w:rsidR="00BD3A0F" w:rsidRDefault="0072420F">
      <w:pPr>
        <w:jc w:val="both"/>
        <w:rPr>
          <w:b/>
        </w:rPr>
      </w:pPr>
      <w:r>
        <w:rPr>
          <w:b/>
        </w:rPr>
        <w:t>ADOPTÉ :</w:t>
      </w:r>
    </w:p>
    <w:p w:rsidR="00BD3A0F" w:rsidRDefault="00BD3A0F">
      <w:pPr>
        <w:jc w:val="both"/>
        <w:rPr>
          <w:b/>
        </w:rPr>
      </w:pPr>
    </w:p>
    <w:p w:rsidR="00BD3A0F" w:rsidRDefault="00BD3A0F">
      <w:pPr>
        <w:jc w:val="both"/>
        <w:rPr>
          <w:b/>
        </w:rPr>
      </w:pPr>
    </w:p>
    <w:p w:rsidR="00BD3A0F" w:rsidRDefault="00BD3A0F">
      <w:pPr>
        <w:jc w:val="both"/>
        <w:rPr>
          <w:b/>
        </w:rPr>
      </w:pPr>
    </w:p>
    <w:p w:rsidR="00BD3A0F" w:rsidRDefault="0072420F">
      <w:pPr>
        <w:ind w:left="1416"/>
        <w:jc w:val="both"/>
      </w:pPr>
      <w:r>
        <w:t>À l’unanimité des membres présents</w:t>
      </w:r>
    </w:p>
    <w:p w:rsidR="00BD3A0F" w:rsidRDefault="00BD3A0F">
      <w:pPr>
        <w:ind w:left="1416"/>
        <w:jc w:val="both"/>
      </w:pPr>
    </w:p>
    <w:p w:rsidR="00BD3A0F" w:rsidRDefault="0072420F">
      <w:pPr>
        <w:ind w:left="1416"/>
        <w:jc w:val="both"/>
      </w:pPr>
      <w:proofErr w:type="gramStart"/>
      <w:r>
        <w:t>OU</w:t>
      </w:r>
      <w:proofErr w:type="gramEnd"/>
    </w:p>
    <w:p w:rsidR="00BD3A0F" w:rsidRDefault="00BD3A0F">
      <w:pPr>
        <w:ind w:left="1416"/>
        <w:jc w:val="both"/>
      </w:pPr>
    </w:p>
    <w:p w:rsidR="00BD3A0F" w:rsidRDefault="0072420F">
      <w:pPr>
        <w:ind w:left="1416"/>
        <w:jc w:val="both"/>
      </w:pPr>
      <w:r>
        <w:t>À [nombre de voix] voix pour</w:t>
      </w:r>
    </w:p>
    <w:p w:rsidR="00BD3A0F" w:rsidRDefault="0072420F">
      <w:pPr>
        <w:ind w:left="1416"/>
        <w:jc w:val="both"/>
      </w:pPr>
      <w:r>
        <w:t>À [nombre de voix] voix contre</w:t>
      </w:r>
    </w:p>
    <w:p w:rsidR="00BD3A0F" w:rsidRDefault="0072420F">
      <w:pPr>
        <w:ind w:left="1416"/>
        <w:jc w:val="both"/>
      </w:pPr>
      <w:r>
        <w:t>À [nombre de voix] abstention(s)</w:t>
      </w:r>
    </w:p>
    <w:p w:rsidR="00BD3A0F" w:rsidRDefault="00BD3A0F">
      <w:pPr>
        <w:jc w:val="both"/>
      </w:pPr>
    </w:p>
    <w:p w:rsidR="00BD3A0F" w:rsidRDefault="0072420F">
      <w:pPr>
        <w:ind w:left="5664"/>
        <w:jc w:val="both"/>
      </w:pPr>
      <w:r>
        <w:t>Fait à [commune], le [date]</w:t>
      </w:r>
    </w:p>
    <w:p w:rsidR="00BD3A0F" w:rsidRDefault="0072420F">
      <w:pPr>
        <w:ind w:left="5664"/>
        <w:jc w:val="both"/>
        <w:rPr>
          <w:i/>
        </w:rPr>
      </w:pPr>
      <w:r>
        <w:t xml:space="preserve">Le Maire </w:t>
      </w:r>
      <w:r>
        <w:rPr>
          <w:i/>
        </w:rPr>
        <w:t>(ou le Président)</w:t>
      </w:r>
    </w:p>
    <w:p w:rsidR="00BD3A0F" w:rsidRDefault="00BD3A0F">
      <w:pPr>
        <w:jc w:val="both"/>
        <w:rPr>
          <w:sz w:val="14"/>
          <w:szCs w:val="14"/>
        </w:rPr>
      </w:pPr>
    </w:p>
    <w:p w:rsidR="00BD3A0F" w:rsidRDefault="00BD3A0F">
      <w:pPr>
        <w:jc w:val="both"/>
        <w:rPr>
          <w:sz w:val="14"/>
          <w:szCs w:val="14"/>
        </w:rPr>
      </w:pPr>
    </w:p>
    <w:p w:rsidR="00BD3A0F" w:rsidRDefault="00BD3A0F">
      <w:pPr>
        <w:jc w:val="both"/>
        <w:rPr>
          <w:sz w:val="14"/>
          <w:szCs w:val="14"/>
        </w:rPr>
      </w:pPr>
    </w:p>
    <w:p w:rsidR="00BD3A0F" w:rsidRDefault="00BD3A0F">
      <w:pPr>
        <w:jc w:val="both"/>
        <w:rPr>
          <w:sz w:val="14"/>
          <w:szCs w:val="14"/>
        </w:rPr>
      </w:pPr>
    </w:p>
    <w:p w:rsidR="00BD3A0F" w:rsidRDefault="00BD3A0F">
      <w:pPr>
        <w:jc w:val="both"/>
        <w:rPr>
          <w:sz w:val="14"/>
          <w:szCs w:val="14"/>
        </w:rPr>
      </w:pPr>
    </w:p>
    <w:p w:rsidR="00BD3A0F" w:rsidRDefault="00BD3A0F">
      <w:pPr>
        <w:jc w:val="both"/>
        <w:rPr>
          <w:sz w:val="14"/>
          <w:szCs w:val="14"/>
        </w:rPr>
      </w:pPr>
    </w:p>
    <w:p w:rsidR="00BD3A0F" w:rsidRDefault="0072420F">
      <w:pPr>
        <w:pStyle w:val="Paragraphedeliste"/>
        <w:numPr>
          <w:ilvl w:val="0"/>
          <w:numId w:val="5"/>
        </w:numPr>
        <w:jc w:val="both"/>
      </w:pPr>
      <w:r>
        <w:t>Transmis au représentant de l’État</w:t>
      </w:r>
      <w:r>
        <w:t xml:space="preserve"> le : [date]</w:t>
      </w:r>
    </w:p>
    <w:p w:rsidR="00BD3A0F" w:rsidRDefault="0072420F">
      <w:pPr>
        <w:pStyle w:val="Paragraphedeliste"/>
        <w:numPr>
          <w:ilvl w:val="0"/>
          <w:numId w:val="5"/>
        </w:numPr>
        <w:spacing w:after="160" w:line="259" w:lineRule="auto"/>
        <w:jc w:val="both"/>
      </w:pPr>
      <w:r>
        <w:t>Publié le : [date]</w:t>
      </w:r>
    </w:p>
    <w:p w:rsidR="00BD3A0F" w:rsidRDefault="0072420F">
      <w:pPr>
        <w:jc w:val="both"/>
      </w:pPr>
      <w:r>
        <w:rPr>
          <w:sz w:val="14"/>
          <w:szCs w:val="14"/>
        </w:rPr>
        <w:t>Le Maire/ Président informe que la présente délibération peut faire l’objet d’un recours pour excès de pouvoir devant le Tribunal Administratif dans un délai de 2 mois, à compter de la présente publication. Le tribunal admin</w:t>
      </w:r>
      <w:r>
        <w:rPr>
          <w:sz w:val="14"/>
          <w:szCs w:val="14"/>
        </w:rPr>
        <w:t>istratif peut être saisi par l'application informatique «</w:t>
      </w:r>
      <w:proofErr w:type="spellStart"/>
      <w:r>
        <w:rPr>
          <w:sz w:val="14"/>
          <w:szCs w:val="14"/>
        </w:rPr>
        <w:t>Télérecours</w:t>
      </w:r>
      <w:proofErr w:type="spellEnd"/>
      <w:r>
        <w:rPr>
          <w:sz w:val="14"/>
          <w:szCs w:val="14"/>
        </w:rPr>
        <w:t xml:space="preserve"> Citoyens» accessible par le site internet </w:t>
      </w:r>
      <w:hyperlink r:id="rId5">
        <w:r>
          <w:rPr>
            <w:rStyle w:val="ListLabel31"/>
          </w:rPr>
          <w:t>www.telerecours.fr</w:t>
        </w:r>
      </w:hyperlink>
      <w:r>
        <w:rPr>
          <w:sz w:val="14"/>
          <w:szCs w:val="14"/>
        </w:rPr>
        <w:t>.</w:t>
      </w:r>
    </w:p>
    <w:sectPr w:rsidR="00BD3A0F">
      <w:pgSz w:w="11906" w:h="16838"/>
      <w:pgMar w:top="1985" w:right="851" w:bottom="851" w:left="1701" w:header="0" w:footer="0" w:gutter="0"/>
      <w:cols w:space="720"/>
      <w:formProt w:val="0"/>
      <w:docGrid w:linePitch="272"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fornianFB">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0082"/>
    <w:multiLevelType w:val="multilevel"/>
    <w:tmpl w:val="61BA84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27333A4"/>
    <w:multiLevelType w:val="multilevel"/>
    <w:tmpl w:val="97A880A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7C107A1"/>
    <w:multiLevelType w:val="multilevel"/>
    <w:tmpl w:val="BDE2223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48A48E6"/>
    <w:multiLevelType w:val="multilevel"/>
    <w:tmpl w:val="BF06C9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37473B3"/>
    <w:multiLevelType w:val="multilevel"/>
    <w:tmpl w:val="E0802612"/>
    <w:lvl w:ilvl="0">
      <w:start w:val="1"/>
      <w:numFmt w:val="bullet"/>
      <w:lvlText w:val=""/>
      <w:lvlJc w:val="left"/>
      <w:pPr>
        <w:ind w:left="1428" w:hanging="360"/>
      </w:pPr>
      <w:rPr>
        <w:rFonts w:ascii="Wingdings" w:hAnsi="Wingdings" w:cs="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5" w15:restartNumberingAfterBreak="0">
    <w:nsid w:val="73EA23B6"/>
    <w:multiLevelType w:val="multilevel"/>
    <w:tmpl w:val="4C7A50C4"/>
    <w:lvl w:ilvl="0">
      <w:start w:val="1"/>
      <w:numFmt w:val="bullet"/>
      <w:lvlText w:val=""/>
      <w:lvlJc w:val="left"/>
      <w:pPr>
        <w:ind w:left="1428" w:hanging="360"/>
      </w:pPr>
      <w:rPr>
        <w:rFonts w:ascii="Wingdings" w:hAnsi="Wingdings" w:cs="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A0F"/>
    <w:rsid w:val="0072420F"/>
    <w:rsid w:val="00BD3A0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82D9D2-0976-4EDB-8CC8-13AA518A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ind w:left="9923" w:right="-1" w:hanging="10490"/>
      <w:jc w:val="center"/>
      <w:outlineLvl w:val="0"/>
    </w:pPr>
    <w:rPr>
      <w:b/>
      <w:sz w:val="26"/>
    </w:rPr>
  </w:style>
  <w:style w:type="paragraph" w:styleId="Titre2">
    <w:name w:val="heading 2"/>
    <w:basedOn w:val="Normal"/>
    <w:next w:val="Normal"/>
    <w:qFormat/>
    <w:pPr>
      <w:keepNext/>
      <w:pBdr>
        <w:top w:val="single" w:sz="12" w:space="0" w:color="000000"/>
        <w:left w:val="single" w:sz="12" w:space="0" w:color="000000"/>
        <w:bottom w:val="single" w:sz="12" w:space="0" w:color="000000"/>
        <w:right w:val="single" w:sz="12" w:space="0" w:color="000000"/>
      </w:pBdr>
      <w:jc w:val="center"/>
      <w:outlineLvl w:val="1"/>
    </w:pPr>
    <w:rPr>
      <w:rFonts w:ascii="Arial" w:hAnsi="Arial"/>
      <w:b/>
      <w:sz w:val="24"/>
    </w:rPr>
  </w:style>
  <w:style w:type="paragraph" w:styleId="Titre3">
    <w:name w:val="heading 3"/>
    <w:basedOn w:val="Normal"/>
    <w:next w:val="Normal"/>
    <w:qFormat/>
    <w:pPr>
      <w:keepNext/>
      <w:tabs>
        <w:tab w:val="left" w:pos="170"/>
      </w:tabs>
      <w:spacing w:after="100"/>
      <w:outlineLvl w:val="2"/>
    </w:pPr>
    <w:rPr>
      <w:rFonts w:ascii="Arial" w:hAnsi="Arial"/>
      <w:sz w:val="24"/>
      <w:u w:val="single"/>
    </w:rPr>
  </w:style>
  <w:style w:type="paragraph" w:styleId="Titre4">
    <w:name w:val="heading 4"/>
    <w:basedOn w:val="Normal"/>
    <w:next w:val="Normal"/>
    <w:qFormat/>
    <w:pPr>
      <w:keepNext/>
      <w:outlineLvl w:val="3"/>
    </w:pPr>
    <w:rPr>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qFormat/>
    <w:rsid w:val="00175751"/>
    <w:rPr>
      <w:rFonts w:ascii="Tahoma" w:hAnsi="Tahoma" w:cs="Tahoma"/>
      <w:sz w:val="16"/>
      <w:szCs w:val="16"/>
    </w:rPr>
  </w:style>
  <w:style w:type="character" w:styleId="Accentuation">
    <w:name w:val="Emphasis"/>
    <w:basedOn w:val="Policepardfaut"/>
    <w:uiPriority w:val="20"/>
    <w:qFormat/>
    <w:rsid w:val="00DF2697"/>
    <w:rPr>
      <w:i/>
      <w:iCs/>
    </w:rPr>
  </w:style>
  <w:style w:type="character" w:customStyle="1" w:styleId="LienInternet">
    <w:name w:val="Lien Internet"/>
    <w:basedOn w:val="Policepardfaut"/>
    <w:uiPriority w:val="99"/>
    <w:semiHidden/>
    <w:unhideWhenUsed/>
    <w:rsid w:val="00DF2697"/>
    <w:rPr>
      <w:color w:val="0000FF"/>
      <w:u w:val="single"/>
    </w:rPr>
  </w:style>
  <w:style w:type="character" w:customStyle="1" w:styleId="ListLabel1">
    <w:name w:val="ListLabel 1"/>
    <w:qFormat/>
    <w:rPr>
      <w:i w:val="0"/>
    </w:rPr>
  </w:style>
  <w:style w:type="character" w:customStyle="1" w:styleId="ListLabel2">
    <w:name w:val="ListLabel 2"/>
    <w:qFormat/>
    <w:rPr>
      <w:rFonts w:eastAsia="Times New Roman" w:cs="Times New Roman"/>
    </w:rPr>
  </w:style>
  <w:style w:type="character" w:customStyle="1" w:styleId="ListLabel3">
    <w:name w:val="ListLabel 3"/>
    <w:qFormat/>
    <w:rPr>
      <w:rFonts w:eastAsia="Times New Roman" w:cs="Times New Roman"/>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libri"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sz w:val="14"/>
      <w:szCs w:val="14"/>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jc w:val="both"/>
    </w:pPr>
    <w:rPr>
      <w:sz w:val="24"/>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rmalcentr">
    <w:name w:val="Block Text"/>
    <w:basedOn w:val="Normal"/>
    <w:qFormat/>
    <w:pPr>
      <w:pBdr>
        <w:left w:val="single" w:sz="6" w:space="0" w:color="000000"/>
        <w:right w:val="single" w:sz="6" w:space="0" w:color="000000"/>
      </w:pBdr>
      <w:tabs>
        <w:tab w:val="left" w:pos="1927"/>
        <w:tab w:val="left" w:pos="3855"/>
        <w:tab w:val="left" w:pos="7938"/>
      </w:tabs>
      <w:ind w:left="170" w:right="284"/>
    </w:pPr>
    <w:rPr>
      <w:b/>
      <w:sz w:val="22"/>
    </w:rPr>
  </w:style>
  <w:style w:type="paragraph" w:styleId="Retraitcorpsdetexte">
    <w:name w:val="Body Text Indent"/>
    <w:basedOn w:val="Normal"/>
    <w:pPr>
      <w:ind w:firstLine="2127"/>
      <w:jc w:val="both"/>
    </w:pPr>
  </w:style>
  <w:style w:type="paragraph" w:styleId="NormalWeb">
    <w:name w:val="Normal (Web)"/>
    <w:basedOn w:val="Normal"/>
    <w:qFormat/>
    <w:pPr>
      <w:spacing w:beforeAutospacing="1" w:afterAutospacing="1"/>
    </w:pPr>
    <w:rPr>
      <w:rFonts w:ascii="Arial Unicode MS" w:eastAsia="Arial Unicode MS" w:hAnsi="Arial Unicode MS" w:cs="Arial Unicode MS"/>
      <w:color w:val="000000"/>
      <w:sz w:val="24"/>
      <w:szCs w:val="24"/>
    </w:rPr>
  </w:style>
  <w:style w:type="paragraph" w:styleId="Retraitcorpsdetexte2">
    <w:name w:val="Body Text Indent 2"/>
    <w:basedOn w:val="Normal"/>
    <w:qFormat/>
    <w:rsid w:val="00DD1B3B"/>
    <w:pPr>
      <w:spacing w:after="120" w:line="480" w:lineRule="auto"/>
      <w:ind w:left="283"/>
    </w:pPr>
  </w:style>
  <w:style w:type="paragraph" w:styleId="Paragraphedeliste">
    <w:name w:val="List Paragraph"/>
    <w:basedOn w:val="Normal"/>
    <w:uiPriority w:val="34"/>
    <w:qFormat/>
    <w:rsid w:val="002A640C"/>
    <w:pPr>
      <w:ind w:left="720"/>
      <w:contextualSpacing/>
    </w:pPr>
  </w:style>
  <w:style w:type="paragraph" w:styleId="Textedebulles">
    <w:name w:val="Balloon Text"/>
    <w:basedOn w:val="Normal"/>
    <w:link w:val="TextedebullesCar"/>
    <w:qFormat/>
    <w:rsid w:val="00175751"/>
    <w:rPr>
      <w:rFonts w:ascii="Tahoma" w:hAnsi="Tahoma" w:cs="Tahoma"/>
      <w:sz w:val="16"/>
      <w:szCs w:val="16"/>
    </w:rPr>
  </w:style>
  <w:style w:type="paragraph" w:customStyle="1" w:styleId="Default">
    <w:name w:val="Default"/>
    <w:qFormat/>
    <w:rsid w:val="00CC0A1F"/>
    <w:rPr>
      <w:rFonts w:ascii="Century Gothic" w:eastAsiaTheme="minorHAnsi" w:hAnsi="Century Gothic" w:cs="Century Gothic"/>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lerecour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932</Words>
  <Characters>5126</Characters>
  <Application>Microsoft Office Word</Application>
  <DocSecurity>0</DocSecurity>
  <Lines>42</Lines>
  <Paragraphs>12</Paragraphs>
  <ScaleCrop>false</ScaleCrop>
  <Company>CENTRE DE GESTION</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DE GESTION DE L’AIN</dc:title>
  <dc:subject/>
  <dc:creator>Jocelyne GUILLEMOZ</dc:creator>
  <dc:description/>
  <cp:lastModifiedBy>Axel Maler</cp:lastModifiedBy>
  <cp:revision>8</cp:revision>
  <cp:lastPrinted>2018-05-15T11:24:00Z</cp:lastPrinted>
  <dcterms:created xsi:type="dcterms:W3CDTF">2019-06-19T06:47:00Z</dcterms:created>
  <dcterms:modified xsi:type="dcterms:W3CDTF">2023-01-12T09:17:00Z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CENTRE DE GESTION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