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convenance personnelle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14,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>pour convenance personnelle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Pr="00DE72F7">
        <w:rPr>
          <w:rFonts w:cstheme="minorHAnsi"/>
          <w:sz w:val="18"/>
          <w:szCs w:val="16"/>
        </w:rPr>
        <w:t>pour convenances personnelles 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B006FC">
        <w:rPr>
          <w:rFonts w:cstheme="minorHAnsi"/>
          <w:sz w:val="18"/>
          <w:szCs w:val="16"/>
        </w:rPr>
        <w:t>3 mois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DE72F7">
              <w:rPr>
                <w:rFonts w:ascii="Calibri" w:hAnsi="Calibri" w:cs="Calibri"/>
                <w:sz w:val="18"/>
              </w:rPr>
              <w:t xml:space="preserve">pour convenance personnelle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FF3A0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F3A06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E72F7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F02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2022-06-02T11:40:00Z</dcterms:created>
  <dcterms:modified xsi:type="dcterms:W3CDTF">2022-06-02T12:49:00Z</dcterms:modified>
</cp:coreProperties>
</file>